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0"/>
          <w:tab w:val="right" w:pos="13323"/>
        </w:tabs>
        <w:spacing w:after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OLE_LINK5"/>
      <w:bookmarkStart w:id="1" w:name="OLE_LINK6"/>
      <w:r>
        <w:rPr>
          <w:rFonts w:ascii="Arial" w:hAnsi="Arial" w:cs="Arial"/>
          <w:b/>
          <w:sz w:val="24"/>
          <w:szCs w:val="24"/>
        </w:rPr>
        <w:t>3GPP TSG-RAN WG4 Meeting #101-bis-e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hint="eastAsia" w:ascii="Arial" w:hAnsi="Arial" w:cs="Arial"/>
          <w:b/>
          <w:color w:val="000000"/>
          <w:sz w:val="24"/>
          <w:szCs w:val="24"/>
        </w:rPr>
        <w:t>R4-2201388</w:t>
      </w:r>
      <w:bookmarkStart w:id="11" w:name="_GoBack"/>
      <w:bookmarkEnd w:id="11"/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宋体" w:cs="Times New Roman"/>
          <w:b/>
          <w:bCs/>
          <w:sz w:val="24"/>
          <w:szCs w:val="24"/>
          <w:lang w:val="en-GB"/>
        </w:rPr>
      </w:pPr>
      <w:r>
        <w:rPr>
          <w:rFonts w:ascii="Arial" w:hAnsi="Arial" w:eastAsia="宋体"/>
          <w:b/>
          <w:sz w:val="24"/>
          <w:szCs w:val="24"/>
          <w:lang w:eastAsia="zh-CN"/>
        </w:rPr>
        <w:t xml:space="preserve">Online Meeting, </w:t>
      </w:r>
      <w:r>
        <w:rPr>
          <w:rFonts w:ascii="Arial" w:hAnsi="Arial" w:cs="Arial"/>
          <w:b/>
          <w:bCs/>
          <w:sz w:val="24"/>
          <w:szCs w:val="24"/>
        </w:rPr>
        <w:t>17 January – 25 January 2022</w:t>
      </w:r>
    </w:p>
    <w:bookmarkEnd w:id="0"/>
    <w:bookmarkEnd w:id="1"/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eastAsia="宋体" w:cs="Times New Roman"/>
          <w:b/>
          <w:bCs/>
          <w:sz w:val="24"/>
          <w:szCs w:val="20"/>
          <w:lang w:val="en-GB" w:eastAsia="ja-JP"/>
        </w:rPr>
      </w:pPr>
    </w:p>
    <w:p>
      <w:pPr>
        <w:tabs>
          <w:tab w:val="left" w:pos="1985"/>
        </w:tabs>
        <w:ind w:left="1985" w:hanging="1985"/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Source: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ZTE</w:t>
      </w:r>
      <w:r>
        <w:rPr>
          <w:rFonts w:ascii="Arial" w:hAnsi="Arial" w:eastAsia="Calibri" w:cs="Arial"/>
          <w:b/>
          <w:bCs/>
          <w:sz w:val="24"/>
          <w:lang w:val="en-GB"/>
        </w:rPr>
        <w:t xml:space="preserve"> </w:t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Corporation</w:t>
      </w:r>
    </w:p>
    <w:p>
      <w:pPr>
        <w:ind w:left="1985" w:hanging="1985"/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Title: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Requirements under RRC Connected mode for RedCap UEs</w:t>
      </w:r>
    </w:p>
    <w:p>
      <w:pPr>
        <w:tabs>
          <w:tab w:val="left" w:pos="1985"/>
        </w:tabs>
        <w:spacing w:after="120" w:line="240" w:lineRule="auto"/>
        <w:jc w:val="both"/>
        <w:rPr>
          <w:rFonts w:hint="default" w:ascii="Arial" w:hAnsi="Arial" w:eastAsia="宋体" w:cs="Arial"/>
          <w:b/>
          <w:bCs/>
          <w:sz w:val="24"/>
          <w:szCs w:val="20"/>
          <w:lang w:val="en-US" w:eastAsia="zh-CN"/>
        </w:rPr>
      </w:pPr>
      <w:r>
        <w:rPr>
          <w:rFonts w:ascii="Arial" w:hAnsi="Arial" w:eastAsia="MS Mincho" w:cs="Arial"/>
          <w:b/>
          <w:bCs/>
          <w:sz w:val="24"/>
          <w:szCs w:val="20"/>
        </w:rPr>
        <w:t>Agenda item:</w:t>
      </w:r>
      <w:r>
        <w:rPr>
          <w:rFonts w:ascii="Arial" w:hAnsi="Arial" w:eastAsia="MS Mincho" w:cs="Arial"/>
          <w:b/>
          <w:bCs/>
          <w:sz w:val="24"/>
          <w:szCs w:val="20"/>
        </w:rPr>
        <w:tab/>
      </w:r>
      <w:r>
        <w:rPr>
          <w:rFonts w:hint="eastAsia" w:ascii="Arial" w:hAnsi="Arial" w:eastAsia="宋体" w:cs="Arial"/>
          <w:b/>
          <w:bCs/>
          <w:sz w:val="24"/>
          <w:szCs w:val="20"/>
          <w:lang w:val="en-US" w:eastAsia="zh-CN"/>
        </w:rPr>
        <w:t>6.20.3.1.2</w:t>
      </w:r>
    </w:p>
    <w:p>
      <w:pPr>
        <w:tabs>
          <w:tab w:val="left" w:pos="1985"/>
        </w:tabs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</w:rPr>
        <w:t>Document for:</w:t>
      </w:r>
      <w:r>
        <w:rPr>
          <w:rFonts w:ascii="Arial" w:hAnsi="Arial" w:eastAsia="Calibri" w:cs="Arial"/>
          <w:b/>
          <w:bCs/>
          <w:sz w:val="24"/>
        </w:rPr>
        <w:tab/>
      </w:r>
      <w:r>
        <w:rPr>
          <w:rFonts w:ascii="Arial" w:hAnsi="Arial" w:eastAsia="Calibri" w:cs="Arial"/>
          <w:b/>
          <w:bCs/>
          <w:sz w:val="24"/>
        </w:rPr>
        <w:t>Discussion</w:t>
      </w:r>
    </w:p>
    <w:p>
      <w:pPr>
        <w:keepNext/>
        <w:keepLines/>
        <w:pBdr>
          <w:top w:val="single" w:color="auto" w:sz="12" w:space="0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hAnsi="Arial" w:eastAsia="宋体" w:cs="Times New Roman"/>
          <w:sz w:val="36"/>
          <w:szCs w:val="20"/>
          <w:lang w:val="en-GB"/>
        </w:rPr>
      </w:pPr>
      <w:r>
        <w:rPr>
          <w:rFonts w:ascii="Arial" w:hAnsi="Arial" w:eastAsia="宋体" w:cs="Times New Roman"/>
          <w:sz w:val="36"/>
          <w:szCs w:val="20"/>
          <w:lang w:val="en-GB"/>
        </w:rPr>
        <w:t>1</w:t>
      </w:r>
      <w:r>
        <w:rPr>
          <w:rFonts w:ascii="Arial" w:hAnsi="Arial" w:eastAsia="宋体" w:cs="Times New Roman"/>
          <w:sz w:val="36"/>
          <w:szCs w:val="20"/>
          <w:lang w:val="en-GB"/>
        </w:rPr>
        <w:tab/>
      </w:r>
      <w:r>
        <w:rPr>
          <w:rFonts w:ascii="Arial" w:hAnsi="Arial" w:eastAsia="宋体" w:cs="Times New Roman"/>
          <w:sz w:val="36"/>
          <w:szCs w:val="20"/>
          <w:lang w:val="en-GB"/>
        </w:rPr>
        <w:t>Intro</w:t>
      </w:r>
      <w:r>
        <w:rPr>
          <w:rStyle w:val="31"/>
        </w:rPr>
        <w:t>ductio</w:t>
      </w:r>
      <w:r>
        <w:rPr>
          <w:rFonts w:ascii="Arial" w:hAnsi="Arial" w:eastAsia="宋体" w:cs="Times New Roman"/>
          <w:sz w:val="36"/>
          <w:szCs w:val="20"/>
          <w:lang w:val="en-GB"/>
        </w:rPr>
        <w:t>n</w:t>
      </w:r>
    </w:p>
    <w:p>
      <w:pPr>
        <w:rPr>
          <w:rFonts w:hint="default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In RAN4 101-e, there were discussions on mobility issues for RedCap UEs.</w:t>
      </w:r>
    </w:p>
    <w:p>
      <w:pPr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In the WF [1] the options were not captured, so we refer to the email discussion summary [2] and the latest options there.</w:t>
      </w:r>
    </w:p>
    <w:tbl>
      <w:tblPr>
        <w:tblStyle w:val="1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3" w:type="dxa"/>
          </w:tcPr>
          <w:p>
            <w:pPr>
              <w:rPr>
                <w:b/>
                <w:color w:val="000000" w:themeColor="text1"/>
                <w:u w:val="single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bookmarkStart w:id="2" w:name="_Hlk87504229"/>
            <w:r>
              <w:rPr>
                <w:b/>
                <w:color w:val="000000" w:themeColor="text1"/>
                <w:u w:val="single"/>
                <w:lang w:eastAsia="ko-KR"/>
                <w14:textFill>
                  <w14:solidFill>
                    <w14:schemeClr w14:val="tx1"/>
                  </w14:solidFill>
                </w14:textFill>
              </w:rPr>
              <w:t>Issue 2-1-4: Impact on T</w:t>
            </w:r>
            <w:r>
              <w:rPr>
                <w:b/>
                <w:color w:val="000000" w:themeColor="text1"/>
                <w:u w:val="single"/>
                <w:vertAlign w:val="subscript"/>
                <w:lang w:eastAsia="ko-KR"/>
                <w14:textFill>
                  <w14:solidFill>
                    <w14:schemeClr w14:val="tx1"/>
                  </w14:solidFill>
                </w14:textFill>
              </w:rPr>
              <w:t>search</w:t>
            </w:r>
            <w:r>
              <w:rPr>
                <w:b/>
                <w:color w:val="000000" w:themeColor="text1"/>
                <w:u w:val="single"/>
                <w:lang w:eastAsia="ko-KR"/>
                <w14:textFill>
                  <w14:solidFill>
                    <w14:schemeClr w14:val="tx1"/>
                  </w14:solidFill>
                </w14:textFill>
              </w:rPr>
              <w:t xml:space="preserve"> (in HO) for 1Rx for FR1</w:t>
            </w:r>
          </w:p>
          <w:bookmarkEnd w:id="2"/>
          <w:p>
            <w:pPr>
              <w:pStyle w:val="26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Proposals</w:t>
            </w:r>
          </w:p>
          <w:p>
            <w:pPr>
              <w:pStyle w:val="26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color w:val="000000" w:themeColor="text1"/>
                <w:highlight w:val="cya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highlight w:val="cyan"/>
                <w14:textFill>
                  <w14:solidFill>
                    <w14:schemeClr w14:val="tx1"/>
                  </w14:solidFill>
                </w14:textFill>
              </w:rPr>
              <w:t xml:space="preserve">Option 1 (Apple): </w:t>
            </w:r>
          </w:p>
          <w:p>
            <w:pPr>
              <w:pStyle w:val="26"/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color w:val="000000" w:themeColor="text1"/>
                <w:highlight w:val="cya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highlight w:val="cyan"/>
                <w14:textFill>
                  <w14:solidFill>
                    <w14:schemeClr w14:val="tx1"/>
                  </w14:solidFill>
                </w14:textFill>
              </w:rPr>
              <w:t>RAN4 to relax the T</w:t>
            </w:r>
            <w:r>
              <w:rPr>
                <w:color w:val="000000" w:themeColor="text1"/>
                <w:highlight w:val="cyan"/>
                <w:vertAlign w:val="subscript"/>
                <w14:textFill>
                  <w14:solidFill>
                    <w14:schemeClr w14:val="tx1"/>
                  </w14:solidFill>
                </w14:textFill>
              </w:rPr>
              <w:t xml:space="preserve">search </w:t>
            </w:r>
            <w:r>
              <w:rPr>
                <w:color w:val="000000" w:themeColor="text1"/>
                <w:highlight w:val="cyan"/>
                <w14:textFill>
                  <w14:solidFill>
                    <w14:schemeClr w14:val="tx1"/>
                  </w14:solidFill>
                </w14:textFill>
              </w:rPr>
              <w:t xml:space="preserve">for RedCap HO delay requirement as followings when SINR=-2dB and 1Rx is used </w:t>
            </w:r>
          </w:p>
          <w:p>
            <w:pPr>
              <w:pStyle w:val="26"/>
              <w:numPr>
                <w:ilvl w:val="3"/>
                <w:numId w:val="6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color w:val="000000" w:themeColor="text1"/>
                <w:highlight w:val="cya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highlight w:val="cyan"/>
                <w14:textFill>
                  <w14:solidFill>
                    <w14:schemeClr w14:val="tx1"/>
                  </w14:solidFill>
                </w14:textFill>
              </w:rPr>
              <w:t>For HO to FR1, T</w:t>
            </w:r>
            <w:r>
              <w:rPr>
                <w:color w:val="000000" w:themeColor="text1"/>
                <w:highlight w:val="cyan"/>
                <w:vertAlign w:val="subscript"/>
                <w14:textFill>
                  <w14:solidFill>
                    <w14:schemeClr w14:val="tx1"/>
                  </w14:solidFill>
                </w14:textFill>
              </w:rPr>
              <w:t xml:space="preserve">search </w:t>
            </w:r>
            <w:r>
              <w:rPr>
                <w:color w:val="000000" w:themeColor="text1"/>
                <w:highlight w:val="cyan"/>
                <w14:textFill>
                  <w14:solidFill>
                    <w14:schemeClr w14:val="tx1"/>
                  </w14:solidFill>
                </w14:textFill>
              </w:rPr>
              <w:t>= 2*T</w:t>
            </w:r>
            <w:r>
              <w:rPr>
                <w:color w:val="000000" w:themeColor="text1"/>
                <w:highlight w:val="cyan"/>
                <w:vertAlign w:val="subscript"/>
                <w14:textFill>
                  <w14:solidFill>
                    <w14:schemeClr w14:val="tx1"/>
                  </w14:solidFill>
                </w14:textFill>
              </w:rPr>
              <w:t>rs</w:t>
            </w:r>
            <w:r>
              <w:rPr>
                <w:color w:val="000000" w:themeColor="text1"/>
                <w:highlight w:val="cyan"/>
                <w14:textFill>
                  <w14:solidFill>
                    <w14:schemeClr w14:val="tx1"/>
                  </w14:solidFill>
                </w14:textFill>
              </w:rPr>
              <w:t xml:space="preserve"> for intra-frequency HO and T</w:t>
            </w:r>
            <w:r>
              <w:rPr>
                <w:color w:val="000000" w:themeColor="text1"/>
                <w:highlight w:val="cyan"/>
                <w:vertAlign w:val="subscript"/>
                <w14:textFill>
                  <w14:solidFill>
                    <w14:schemeClr w14:val="tx1"/>
                  </w14:solidFill>
                </w14:textFill>
              </w:rPr>
              <w:t>search</w:t>
            </w:r>
            <w:r>
              <w:rPr>
                <w:color w:val="000000" w:themeColor="text1"/>
                <w:highlight w:val="cyan"/>
                <w14:textFill>
                  <w14:solidFill>
                    <w14:schemeClr w14:val="tx1"/>
                  </w14:solidFill>
                </w14:textFill>
              </w:rPr>
              <w:t xml:space="preserve"> = 4* T</w:t>
            </w:r>
            <w:r>
              <w:rPr>
                <w:color w:val="000000" w:themeColor="text1"/>
                <w:highlight w:val="cyan"/>
                <w:vertAlign w:val="subscript"/>
                <w14:textFill>
                  <w14:solidFill>
                    <w14:schemeClr w14:val="tx1"/>
                  </w14:solidFill>
                </w14:textFill>
              </w:rPr>
              <w:t>rs</w:t>
            </w:r>
            <w:r>
              <w:rPr>
                <w:color w:val="000000" w:themeColor="text1"/>
                <w:highlight w:val="cyan"/>
                <w14:textFill>
                  <w14:solidFill>
                    <w14:schemeClr w14:val="tx1"/>
                  </w14:solidFill>
                </w14:textFill>
              </w:rPr>
              <w:t xml:space="preserve"> for inter-frequency HO</w:t>
            </w:r>
          </w:p>
          <w:p>
            <w:pPr>
              <w:pStyle w:val="26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color w:val="000000" w:themeColor="text1"/>
                <w:highlight w:val="cya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highlight w:val="cyan"/>
                <w14:textFill>
                  <w14:solidFill>
                    <w14:schemeClr w14:val="tx1"/>
                  </w14:solidFill>
                </w14:textFill>
              </w:rPr>
              <w:t>Option 2 (vivo, E///, ZTE, CMCC, HW, Xiaomi):</w:t>
            </w:r>
          </w:p>
          <w:p>
            <w:pPr>
              <w:pStyle w:val="26"/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color w:val="000000" w:themeColor="text1"/>
                <w:highlight w:val="cyan"/>
                <w14:textFill>
                  <w14:solidFill>
                    <w14:schemeClr w14:val="tx1"/>
                  </w14:solidFill>
                </w14:textFill>
              </w:rPr>
            </w:pPr>
            <w:bookmarkStart w:id="3" w:name="_Hlk87504249"/>
            <w:r>
              <w:rPr>
                <w:bCs/>
                <w:color w:val="000000" w:themeColor="text1"/>
                <w:highlight w:val="cyan"/>
                <w14:textFill>
                  <w14:solidFill>
                    <w14:schemeClr w14:val="tx1"/>
                  </w14:solidFill>
                </w14:textFill>
              </w:rPr>
              <w:t>For Redcap UE with 1Rx, t</w:t>
            </w:r>
            <w:r>
              <w:rPr>
                <w:bCs/>
                <w:color w:val="000000" w:themeColor="text1"/>
                <w:highlight w:val="cyan"/>
                <w:lang w:eastAsia="sv-SE"/>
                <w14:textFill>
                  <w14:solidFill>
                    <w14:schemeClr w14:val="tx1"/>
                  </w14:solidFill>
                </w14:textFill>
              </w:rPr>
              <w:t xml:space="preserve">he time to identify target NR cell, </w:t>
            </w:r>
            <w:r>
              <w:rPr>
                <w:bCs/>
                <w:i/>
                <w:color w:val="000000" w:themeColor="text1"/>
                <w:highlight w:val="cyan"/>
                <w:lang w:eastAsia="ko-KR"/>
                <w14:textFill>
                  <w14:solidFill>
                    <w14:schemeClr w14:val="tx1"/>
                  </w14:solidFill>
                </w14:textFill>
              </w:rPr>
              <w:t>T</w:t>
            </w:r>
            <w:r>
              <w:rPr>
                <w:bCs/>
                <w:i/>
                <w:color w:val="000000" w:themeColor="text1"/>
                <w:highlight w:val="cyan"/>
                <w:vertAlign w:val="subscript"/>
                <w:lang w:eastAsia="ko-KR"/>
                <w14:textFill>
                  <w14:solidFill>
                    <w14:schemeClr w14:val="tx1"/>
                  </w14:solidFill>
                </w14:textFill>
              </w:rPr>
              <w:t>identify_intra_NR</w:t>
            </w:r>
            <w:r>
              <w:rPr>
                <w:bCs/>
                <w:color w:val="000000" w:themeColor="text1"/>
                <w:highlight w:val="cyan"/>
                <w:lang w:eastAsia="sv-SE"/>
                <w14:textFill>
                  <w14:solidFill>
                    <w14:schemeClr w14:val="tx1"/>
                  </w14:solidFill>
                </w14:textFill>
              </w:rPr>
              <w:t xml:space="preserve"> and </w:t>
            </w:r>
            <w:r>
              <w:rPr>
                <w:bCs/>
                <w:i/>
                <w:color w:val="000000" w:themeColor="text1"/>
                <w:highlight w:val="cyan"/>
                <w:lang w:eastAsia="ko-KR"/>
                <w14:textFill>
                  <w14:solidFill>
                    <w14:schemeClr w14:val="tx1"/>
                  </w14:solidFill>
                </w14:textFill>
              </w:rPr>
              <w:t>T</w:t>
            </w:r>
            <w:r>
              <w:rPr>
                <w:bCs/>
                <w:i/>
                <w:color w:val="000000" w:themeColor="text1"/>
                <w:highlight w:val="cyan"/>
                <w:vertAlign w:val="subscript"/>
                <w:lang w:eastAsia="ko-KR"/>
                <w14:textFill>
                  <w14:solidFill>
                    <w14:schemeClr w14:val="tx1"/>
                  </w14:solidFill>
                </w14:textFill>
              </w:rPr>
              <w:t>identify_inter_NR,I</w:t>
            </w:r>
            <w:r>
              <w:rPr>
                <w:bCs/>
                <w:color w:val="000000" w:themeColor="text1"/>
                <w:highlight w:val="cyan"/>
                <w:lang w:eastAsia="sv-SE"/>
                <w14:textFill>
                  <w14:solidFill>
                    <w14:schemeClr w14:val="tx1"/>
                  </w14:solidFill>
                </w14:textFill>
              </w:rPr>
              <w:t>, can be determined through simulation campaign that is currently ongoing.</w:t>
            </w:r>
          </w:p>
          <w:bookmarkEnd w:id="3"/>
          <w:p>
            <w:pPr>
              <w:pStyle w:val="26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color w:val="000000" w:themeColor="text1"/>
                <w:highlight w:val="cya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highlight w:val="cyan"/>
                <w14:textFill>
                  <w14:solidFill>
                    <w14:schemeClr w14:val="tx1"/>
                  </w14:solidFill>
                </w14:textFill>
              </w:rPr>
              <w:t>Option 3 (Xiaomi): The current handover requirements could be reused as baseline for RedCap UE.</w:t>
            </w:r>
          </w:p>
          <w:p>
            <w:pPr>
              <w:pStyle w:val="26"/>
              <w:numPr>
                <w:ilvl w:val="0"/>
                <w:numId w:val="0"/>
              </w:numPr>
              <w:adjustRightInd/>
              <w:textAlignment w:val="auto"/>
              <w:rPr>
                <w:rFonts w:hint="eastAsia" w:ascii="Arial" w:hAnsi="Arial" w:eastAsia="宋体" w:cs="Arial"/>
                <w:bCs/>
                <w:lang w:val="en-US" w:eastAsia="zh-CN"/>
              </w:rPr>
            </w:pPr>
          </w:p>
          <w:p>
            <w:pPr>
              <w:rPr>
                <w:b/>
                <w:color w:val="000000" w:themeColor="text1"/>
                <w:u w:val="single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bookmarkStart w:id="4" w:name="_Hlk87504395"/>
            <w:r>
              <w:rPr>
                <w:b/>
                <w:color w:val="000000" w:themeColor="text1"/>
                <w:u w:val="single"/>
                <w:lang w:eastAsia="ko-KR"/>
                <w14:textFill>
                  <w14:solidFill>
                    <w14:schemeClr w14:val="tx1"/>
                  </w14:solidFill>
                </w14:textFill>
              </w:rPr>
              <w:t>Issue 2-1-5: Impact on T</w:t>
            </w:r>
            <w:r>
              <w:rPr>
                <w:b/>
                <w:color w:val="000000" w:themeColor="text1"/>
                <w:u w:val="single"/>
                <w:vertAlign w:val="subscript"/>
                <w:lang w:eastAsia="ko-KR"/>
                <w14:textFill>
                  <w14:solidFill>
                    <w14:schemeClr w14:val="tx1"/>
                  </w14:solidFill>
                </w14:textFill>
              </w:rPr>
              <w:t>search</w:t>
            </w:r>
            <w:r>
              <w:rPr>
                <w:b/>
                <w:color w:val="000000" w:themeColor="text1"/>
                <w:u w:val="single"/>
                <w:lang w:eastAsia="ko-KR"/>
                <w14:textFill>
                  <w14:solidFill>
                    <w14:schemeClr w14:val="tx1"/>
                  </w14:solidFill>
                </w14:textFill>
              </w:rPr>
              <w:t xml:space="preserve"> (in HO) for FR2</w:t>
            </w:r>
          </w:p>
          <w:bookmarkEnd w:id="4"/>
          <w:p>
            <w:pPr>
              <w:pStyle w:val="26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Proposals</w:t>
            </w:r>
          </w:p>
          <w:p>
            <w:pPr>
              <w:pStyle w:val="26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color w:val="000000" w:themeColor="text1"/>
                <w:highlight w:val="cya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highlight w:val="cyan"/>
                <w14:textFill>
                  <w14:solidFill>
                    <w14:schemeClr w14:val="tx1"/>
                  </w14:solidFill>
                </w14:textFill>
              </w:rPr>
              <w:t>Option 1 (Apple): RAN4 to relax the T</w:t>
            </w:r>
            <w:r>
              <w:rPr>
                <w:color w:val="000000" w:themeColor="text1"/>
                <w:highlight w:val="cyan"/>
                <w:vertAlign w:val="subscript"/>
                <w14:textFill>
                  <w14:solidFill>
                    <w14:schemeClr w14:val="tx1"/>
                  </w14:solidFill>
                </w14:textFill>
              </w:rPr>
              <w:t xml:space="preserve">search </w:t>
            </w:r>
            <w:r>
              <w:rPr>
                <w:color w:val="000000" w:themeColor="text1"/>
                <w:highlight w:val="cyan"/>
                <w14:textFill>
                  <w14:solidFill>
                    <w14:schemeClr w14:val="tx1"/>
                  </w14:solidFill>
                </w14:textFill>
              </w:rPr>
              <w:t xml:space="preserve">for RedCap HO delay requirement as followings when SINR=-2dB and 1Rx is used </w:t>
            </w:r>
          </w:p>
          <w:p>
            <w:pPr>
              <w:pStyle w:val="26"/>
              <w:widowControl w:val="0"/>
              <w:numPr>
                <w:ilvl w:val="3"/>
                <w:numId w:val="6"/>
              </w:numPr>
              <w:overflowPunct/>
              <w:spacing w:before="100" w:beforeAutospacing="1" w:after="0"/>
              <w:ind w:firstLineChars="0"/>
              <w:jc w:val="both"/>
              <w:textAlignment w:val="auto"/>
              <w:rPr>
                <w:color w:val="000000" w:themeColor="text1"/>
                <w:highlight w:val="cya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highlight w:val="cyan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For HO to FR2, </w:t>
            </w:r>
            <w:r>
              <w:rPr>
                <w:color w:val="000000" w:themeColor="text1"/>
                <w:highlight w:val="cyan"/>
                <w14:textFill>
                  <w14:solidFill>
                    <w14:schemeClr w14:val="tx1"/>
                  </w14:solidFill>
                </w14:textFill>
              </w:rPr>
              <w:t>T</w:t>
            </w:r>
            <w:r>
              <w:rPr>
                <w:color w:val="000000" w:themeColor="text1"/>
                <w:highlight w:val="cyan"/>
                <w:vertAlign w:val="subscript"/>
                <w14:textFill>
                  <w14:solidFill>
                    <w14:schemeClr w14:val="tx1"/>
                  </w14:solidFill>
                </w14:textFill>
              </w:rPr>
              <w:t>search</w:t>
            </w:r>
            <w:r>
              <w:rPr>
                <w:color w:val="000000" w:themeColor="text1"/>
                <w:highlight w:val="cyan"/>
                <w14:textFill>
                  <w14:solidFill>
                    <w14:schemeClr w14:val="tx1"/>
                  </w14:solidFill>
                </w14:textFill>
              </w:rPr>
              <w:t xml:space="preserve"> = </w:t>
            </w:r>
            <w:r>
              <w:rPr>
                <w:color w:val="000000" w:themeColor="text1"/>
                <w:highlight w:val="cyan"/>
                <w:lang w:val="en-US"/>
                <w14:textFill>
                  <w14:solidFill>
                    <w14:schemeClr w14:val="tx1"/>
                  </w14:solidFill>
                </w14:textFill>
              </w:rPr>
              <w:t>8*2*</w:t>
            </w:r>
            <w:r>
              <w:rPr>
                <w:color w:val="000000" w:themeColor="text1"/>
                <w:highlight w:val="cyan"/>
                <w14:textFill>
                  <w14:solidFill>
                    <w14:schemeClr w14:val="tx1"/>
                  </w14:solidFill>
                </w14:textFill>
              </w:rPr>
              <w:t>T</w:t>
            </w:r>
            <w:r>
              <w:rPr>
                <w:color w:val="000000" w:themeColor="text1"/>
                <w:highlight w:val="cyan"/>
                <w:vertAlign w:val="subscript"/>
                <w14:textFill>
                  <w14:solidFill>
                    <w14:schemeClr w14:val="tx1"/>
                  </w14:solidFill>
                </w14:textFill>
              </w:rPr>
              <w:t>rs</w:t>
            </w:r>
            <w:r>
              <w:rPr>
                <w:color w:val="000000" w:themeColor="text1"/>
                <w:highlight w:val="cya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highlight w:val="cyan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for intra-frequency HO and </w:t>
            </w:r>
            <w:r>
              <w:rPr>
                <w:color w:val="000000" w:themeColor="text1"/>
                <w:highlight w:val="cyan"/>
                <w14:textFill>
                  <w14:solidFill>
                    <w14:schemeClr w14:val="tx1"/>
                  </w14:solidFill>
                </w14:textFill>
              </w:rPr>
              <w:t>T</w:t>
            </w:r>
            <w:r>
              <w:rPr>
                <w:color w:val="000000" w:themeColor="text1"/>
                <w:highlight w:val="cyan"/>
                <w:vertAlign w:val="subscript"/>
                <w14:textFill>
                  <w14:solidFill>
                    <w14:schemeClr w14:val="tx1"/>
                  </w14:solidFill>
                </w14:textFill>
              </w:rPr>
              <w:t>search</w:t>
            </w:r>
            <w:r>
              <w:rPr>
                <w:color w:val="000000" w:themeColor="text1"/>
                <w:highlight w:val="cyan"/>
                <w14:textFill>
                  <w14:solidFill>
                    <w14:schemeClr w14:val="tx1"/>
                  </w14:solidFill>
                </w14:textFill>
              </w:rPr>
              <w:t xml:space="preserve"> = </w:t>
            </w:r>
            <w:r>
              <w:rPr>
                <w:color w:val="000000" w:themeColor="text1"/>
                <w:highlight w:val="cyan"/>
                <w:lang w:val="en-US"/>
                <w14:textFill>
                  <w14:solidFill>
                    <w14:schemeClr w14:val="tx1"/>
                  </w14:solidFill>
                </w14:textFill>
              </w:rPr>
              <w:t>8*4</w:t>
            </w:r>
            <w:r>
              <w:rPr>
                <w:color w:val="000000" w:themeColor="text1"/>
                <w:highlight w:val="cyan"/>
                <w14:textFill>
                  <w14:solidFill>
                    <w14:schemeClr w14:val="tx1"/>
                  </w14:solidFill>
                </w14:textFill>
              </w:rPr>
              <w:t>* T</w:t>
            </w:r>
            <w:r>
              <w:rPr>
                <w:color w:val="000000" w:themeColor="text1"/>
                <w:highlight w:val="cyan"/>
                <w:vertAlign w:val="subscript"/>
                <w14:textFill>
                  <w14:solidFill>
                    <w14:schemeClr w14:val="tx1"/>
                  </w14:solidFill>
                </w14:textFill>
              </w:rPr>
              <w:t>rs</w:t>
            </w:r>
            <w:r>
              <w:rPr>
                <w:color w:val="000000" w:themeColor="text1"/>
                <w:highlight w:val="cyan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for inter-frequency HO</w:t>
            </w:r>
          </w:p>
          <w:p>
            <w:pPr>
              <w:pStyle w:val="26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color w:val="000000" w:themeColor="text1"/>
                <w:highlight w:val="cya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highlight w:val="cyan"/>
                <w14:textFill>
                  <w14:solidFill>
                    <w14:schemeClr w14:val="tx1"/>
                  </w14:solidFill>
                </w14:textFill>
              </w:rPr>
              <w:t>Option 2 (E///, Xiaomi, CMCC, HW, vivo, QC, MTK, Nokia): For Redcap UE with 1Rx, the time to identify target NR cell in FR2 can be determined through simulation campaign that is currently ongoing.</w:t>
            </w:r>
          </w:p>
          <w:p>
            <w:pPr>
              <w:rPr>
                <w:b/>
                <w:color w:val="000000" w:themeColor="text1"/>
                <w:u w:val="single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bookmarkStart w:id="5" w:name="_Hlk87504471"/>
            <w:r>
              <w:rPr>
                <w:b/>
                <w:color w:val="000000" w:themeColor="text1"/>
                <w:u w:val="single"/>
                <w:lang w:eastAsia="ko-KR"/>
                <w14:textFill>
                  <w14:solidFill>
                    <w14:schemeClr w14:val="tx1"/>
                  </w14:solidFill>
                </w14:textFill>
              </w:rPr>
              <w:t>Issue 2-1-8: Requirements for HD-FDD in HO</w:t>
            </w:r>
          </w:p>
          <w:bookmarkEnd w:id="5"/>
          <w:p>
            <w:pPr>
              <w:pStyle w:val="26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color w:val="000000" w:themeColor="text1"/>
                <w:highlight w:val="cyan"/>
                <w14:textFill>
                  <w14:solidFill>
                    <w14:schemeClr w14:val="tx1"/>
                  </w14:solidFill>
                </w14:textFill>
              </w:rPr>
            </w:pPr>
            <w:bookmarkStart w:id="6" w:name="_Hlk87504477"/>
            <w:r>
              <w:rPr>
                <w:color w:val="000000" w:themeColor="text1"/>
                <w:highlight w:val="cyan"/>
                <w14:textFill>
                  <w14:solidFill>
                    <w14:schemeClr w14:val="tx1"/>
                  </w14:solidFill>
                </w14:textFill>
              </w:rPr>
              <w:t xml:space="preserve">Option 1 (Apple, vivo): </w:t>
            </w:r>
          </w:p>
          <w:p>
            <w:pPr>
              <w:pStyle w:val="26"/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color w:val="000000" w:themeColor="text1"/>
                <w:highlight w:val="cya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highlight w:val="cyan"/>
                <w14:textFill>
                  <w14:solidFill>
                    <w14:schemeClr w14:val="tx1"/>
                  </w14:solidFill>
                </w14:textFill>
              </w:rPr>
              <w:t>RRM DL measurement is prioritized over the UL transmission of HD-FDD for RedCap UE in HO requirement.</w:t>
            </w:r>
          </w:p>
          <w:bookmarkEnd w:id="6"/>
          <w:p>
            <w:pPr>
              <w:pStyle w:val="26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color w:val="000000" w:themeColor="text1"/>
                <w:highlight w:val="cya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highlight w:val="cyan"/>
                <w14:textFill>
                  <w14:solidFill>
                    <w14:schemeClr w14:val="tx1"/>
                  </w14:solidFill>
                </w14:textFill>
              </w:rPr>
              <w:t>Option 2 (Nokia, Ericsson):  FFS</w:t>
            </w:r>
          </w:p>
          <w:p>
            <w:pPr>
              <w:pStyle w:val="26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color w:val="000000" w:themeColor="text1"/>
                <w:highlight w:val="cya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highlight w:val="cyan"/>
                <w14:textFill>
                  <w14:solidFill>
                    <w14:schemeClr w14:val="tx1"/>
                  </w14:solidFill>
                </w14:textFill>
              </w:rPr>
              <w:t>Option 3 (MTK): Introduce scheduling availability for UL/DL IN HD-FFD bands.</w:t>
            </w:r>
          </w:p>
          <w:p>
            <w:pPr>
              <w:rPr>
                <w:rFonts w:eastAsiaTheme="minorEastAsia"/>
                <w:i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b/>
                <w:color w:val="000000" w:themeColor="text1"/>
                <w:u w:val="single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bookmarkStart w:id="7" w:name="_Hlk87505249"/>
            <w:r>
              <w:rPr>
                <w:b/>
                <w:color w:val="000000" w:themeColor="text1"/>
                <w:u w:val="single"/>
                <w:lang w:eastAsia="ko-KR"/>
                <w14:textFill>
                  <w14:solidFill>
                    <w14:schemeClr w14:val="tx1"/>
                  </w14:solidFill>
                </w14:textFill>
              </w:rPr>
              <w:t>Issue 2-3-5: Requirements for HD-FDD in RRC connection release with redirection</w:t>
            </w:r>
          </w:p>
          <w:bookmarkEnd w:id="7"/>
          <w:p>
            <w:pPr>
              <w:pStyle w:val="26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color w:val="000000" w:themeColor="text1"/>
                <w:highlight w:val="cya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highlight w:val="cyan"/>
                <w14:textFill>
                  <w14:solidFill>
                    <w14:schemeClr w14:val="tx1"/>
                  </w14:solidFill>
                </w14:textFill>
              </w:rPr>
              <w:t xml:space="preserve">Option 1 (Apple, vivo): </w:t>
            </w:r>
          </w:p>
          <w:p>
            <w:pPr>
              <w:pStyle w:val="26"/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color w:val="000000" w:themeColor="text1"/>
                <w:highlight w:val="cyan"/>
                <w14:textFill>
                  <w14:solidFill>
                    <w14:schemeClr w14:val="tx1"/>
                  </w14:solidFill>
                </w14:textFill>
              </w:rPr>
            </w:pPr>
            <w:bookmarkStart w:id="8" w:name="_Hlk87505344"/>
            <w:r>
              <w:rPr>
                <w:color w:val="000000" w:themeColor="text1"/>
                <w:highlight w:val="cyan"/>
                <w14:textFill>
                  <w14:solidFill>
                    <w14:schemeClr w14:val="tx1"/>
                  </w14:solidFill>
                </w14:textFill>
              </w:rPr>
              <w:t>RRM DL measurement is prioritized over the UL transmission of HD-FDD for RedCap UE in RRC redirection requirement.</w:t>
            </w:r>
          </w:p>
          <w:bookmarkEnd w:id="8"/>
          <w:p>
            <w:pPr>
              <w:pStyle w:val="26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color w:val="000000" w:themeColor="text1"/>
                <w:highlight w:val="cya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highlight w:val="cyan"/>
                <w14:textFill>
                  <w14:solidFill>
                    <w14:schemeClr w14:val="tx1"/>
                  </w14:solidFill>
                </w14:textFill>
              </w:rPr>
              <w:t>Option 2 (E///, CMCC, MTK ): reuse conclusion from issue 2-1-8.</w:t>
            </w:r>
          </w:p>
          <w:p>
            <w:pPr>
              <w:pStyle w:val="26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color w:val="000000" w:themeColor="text1"/>
                <w:highlight w:val="cya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highlight w:val="cyan"/>
                <w14:textFill>
                  <w14:solidFill>
                    <w14:schemeClr w14:val="tx1"/>
                  </w14:solidFill>
                </w14:textFill>
              </w:rPr>
              <w:t>Option 3 (MTK ): reuse conclusion from issue 1-3-1.</w:t>
            </w:r>
          </w:p>
          <w:p>
            <w:pPr>
              <w:pStyle w:val="26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color w:val="000000" w:themeColor="text1"/>
                <w:highlight w:val="cya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highlight w:val="cyan"/>
                <w14:textFill>
                  <w14:solidFill>
                    <w14:schemeClr w14:val="tx1"/>
                  </w14:solidFill>
                </w14:textFill>
              </w:rPr>
              <w:t>Option 4 (HW, vivo, Apple): FFS</w:t>
            </w:r>
          </w:p>
          <w:p>
            <w:pPr>
              <w:rPr>
                <w:b/>
                <w:bCs/>
                <w:u w:val="single"/>
                <w:lang w:val="en-US"/>
              </w:rPr>
            </w:pPr>
            <w:bookmarkStart w:id="9" w:name="_Hlk87506752"/>
            <w:bookmarkStart w:id="10" w:name="_Hlk87506983"/>
            <w:r>
              <w:rPr>
                <w:b/>
                <w:bCs/>
                <w:u w:val="single"/>
                <w:lang w:val="en-US"/>
              </w:rPr>
              <w:t>Impact on RA requirements</w:t>
            </w:r>
          </w:p>
          <w:bookmarkEnd w:id="9"/>
          <w:p>
            <w:pPr>
              <w:spacing w:after="120"/>
              <w:rPr>
                <w:color w:val="ED7D31" w:themeColor="accent2"/>
                <w:lang w:val="en-US"/>
                <w14:textFill>
                  <w14:solidFill>
                    <w14:schemeClr w14:val="accent2"/>
                  </w14:solidFill>
                </w14:textFill>
              </w:rPr>
            </w:pPr>
            <w:r>
              <w:rPr>
                <w:color w:val="ED7D31" w:themeColor="accent2"/>
                <w:lang w:val="en-US"/>
                <w14:textFill>
                  <w14:solidFill>
                    <w14:schemeClr w14:val="accent2"/>
                  </w14:solidFill>
                </w14:textFill>
              </w:rPr>
              <w:t>For FD-FDD and TDD:</w:t>
            </w:r>
          </w:p>
          <w:bookmarkEnd w:id="10"/>
          <w:p>
            <w:pPr>
              <w:pStyle w:val="26"/>
              <w:numPr>
                <w:ilvl w:val="0"/>
                <w:numId w:val="6"/>
              </w:numPr>
              <w:adjustRightInd/>
              <w:spacing w:after="120" w:line="240" w:lineRule="auto"/>
              <w:ind w:firstLineChars="0"/>
              <w:textAlignment w:val="auto"/>
              <w:rPr>
                <w:rFonts w:eastAsiaTheme="minorEastAsia"/>
                <w:color w:val="ED7D31" w:themeColor="accent2"/>
                <w:lang w:val="en-US"/>
                <w14:textFill>
                  <w14:solidFill>
                    <w14:schemeClr w14:val="accent2"/>
                  </w14:solidFill>
                </w14:textFill>
              </w:rPr>
            </w:pPr>
            <w:r>
              <w:rPr>
                <w:rFonts w:eastAsiaTheme="minorEastAsia"/>
                <w:color w:val="ED7D31" w:themeColor="accent2"/>
                <w:lang w:val="en-US"/>
                <w14:textFill>
                  <w14:solidFill>
                    <w14:schemeClr w14:val="accent2"/>
                  </w14:solidFill>
                </w14:textFill>
              </w:rPr>
              <w:t>Current RA requirements are applicable for RedCap UEs in FD-FDD and TDD mode for RedCap 2 Rx UE:</w:t>
            </w:r>
          </w:p>
          <w:p>
            <w:pPr>
              <w:pStyle w:val="26"/>
              <w:numPr>
                <w:ilvl w:val="1"/>
                <w:numId w:val="6"/>
              </w:numPr>
              <w:adjustRightInd/>
              <w:spacing w:after="120" w:line="240" w:lineRule="auto"/>
              <w:ind w:firstLineChars="0"/>
              <w:textAlignment w:val="auto"/>
              <w:rPr>
                <w:rFonts w:eastAsiaTheme="minorEastAsia"/>
                <w:color w:val="ED7D31" w:themeColor="accent2"/>
                <w:lang w:val="en-US"/>
                <w14:textFill>
                  <w14:solidFill>
                    <w14:schemeClr w14:val="accent2"/>
                  </w14:solidFill>
                </w14:textFill>
              </w:rPr>
            </w:pPr>
            <w:r>
              <w:rPr>
                <w:rFonts w:eastAsiaTheme="minorEastAsia"/>
                <w:color w:val="ED7D31" w:themeColor="accent2"/>
                <w:lang w:val="en-US"/>
                <w14:textFill>
                  <w14:solidFill>
                    <w14:schemeClr w14:val="accent2"/>
                  </w14:solidFill>
                </w14:textFill>
              </w:rPr>
              <w:t>FFS impact due to ROs configured in RedCap specific initial BWP</w:t>
            </w:r>
          </w:p>
          <w:p>
            <w:pPr>
              <w:pStyle w:val="26"/>
              <w:numPr>
                <w:ilvl w:val="0"/>
                <w:numId w:val="6"/>
              </w:numPr>
              <w:adjustRightInd/>
              <w:spacing w:after="120" w:line="240" w:lineRule="auto"/>
              <w:ind w:firstLineChars="0"/>
              <w:textAlignment w:val="auto"/>
              <w:rPr>
                <w:rFonts w:eastAsiaTheme="minorEastAsia"/>
                <w:color w:val="ED7D31" w:themeColor="accent2"/>
                <w:lang w:val="en-US"/>
                <w14:textFill>
                  <w14:solidFill>
                    <w14:schemeClr w14:val="accent2"/>
                  </w14:solidFill>
                </w14:textFill>
              </w:rPr>
            </w:pPr>
            <w:r>
              <w:rPr>
                <w:rFonts w:eastAsiaTheme="minorEastAsia"/>
                <w:color w:val="ED7D31" w:themeColor="accent2"/>
                <w:lang w:val="en-US"/>
                <w14:textFill>
                  <w14:solidFill>
                    <w14:schemeClr w14:val="accent2"/>
                  </w14:solidFill>
                </w14:textFill>
              </w:rPr>
              <w:t xml:space="preserve">Current RA requirements are applicable for RedCap UEs in FD-FDD and TDD mode for RedCap 1 Rx UE: </w:t>
            </w:r>
          </w:p>
          <w:p>
            <w:pPr>
              <w:pStyle w:val="26"/>
              <w:numPr>
                <w:ilvl w:val="1"/>
                <w:numId w:val="6"/>
              </w:numPr>
              <w:adjustRightInd/>
              <w:spacing w:after="120" w:line="240" w:lineRule="auto"/>
              <w:ind w:firstLineChars="0"/>
              <w:textAlignment w:val="auto"/>
              <w:rPr>
                <w:rFonts w:eastAsiaTheme="minorEastAsia"/>
                <w:color w:val="ED7D31" w:themeColor="accent2"/>
                <w:lang w:val="en-US"/>
                <w14:textFill>
                  <w14:solidFill>
                    <w14:schemeClr w14:val="accent2"/>
                  </w14:solidFill>
                </w14:textFill>
              </w:rPr>
            </w:pPr>
            <w:r>
              <w:rPr>
                <w:rFonts w:eastAsiaTheme="minorEastAsia"/>
                <w:color w:val="ED7D31" w:themeColor="accent2"/>
                <w:lang w:val="en-US"/>
                <w14:textFill>
                  <w14:solidFill>
                    <w14:schemeClr w14:val="accent2"/>
                  </w14:solidFill>
                </w14:textFill>
              </w:rPr>
              <w:t>FFS impact due to early identification.</w:t>
            </w:r>
          </w:p>
          <w:p>
            <w:pPr>
              <w:pStyle w:val="26"/>
              <w:numPr>
                <w:ilvl w:val="1"/>
                <w:numId w:val="6"/>
              </w:numPr>
              <w:adjustRightInd/>
              <w:spacing w:after="120" w:line="240" w:lineRule="auto"/>
              <w:ind w:firstLineChars="0"/>
              <w:textAlignment w:val="auto"/>
              <w:rPr>
                <w:rFonts w:eastAsiaTheme="minorEastAsia"/>
                <w:color w:val="ED7D31" w:themeColor="accent2"/>
                <w:lang w:val="en-US"/>
                <w14:textFill>
                  <w14:solidFill>
                    <w14:schemeClr w14:val="accent2"/>
                  </w14:solidFill>
                </w14:textFill>
              </w:rPr>
            </w:pPr>
            <w:r>
              <w:rPr>
                <w:rFonts w:eastAsiaTheme="minorEastAsia"/>
                <w:color w:val="ED7D31" w:themeColor="accent2"/>
                <w:lang w:val="en-US"/>
                <w14:textFill>
                  <w14:solidFill>
                    <w14:schemeClr w14:val="accent2"/>
                  </w14:solidFill>
                </w14:textFill>
              </w:rPr>
              <w:t>FFS impact due to ROs configured in RedCap specific initial BWP</w:t>
            </w:r>
          </w:p>
          <w:p>
            <w:pPr>
              <w:pStyle w:val="26"/>
              <w:numPr>
                <w:ilvl w:val="0"/>
                <w:numId w:val="0"/>
              </w:numPr>
              <w:adjustRightInd/>
              <w:textAlignment w:val="auto"/>
              <w:rPr>
                <w:rFonts w:hint="eastAsia" w:ascii="Arial" w:hAnsi="Arial" w:eastAsia="宋体" w:cs="Arial"/>
                <w:bCs/>
                <w:lang w:val="en-US" w:eastAsia="zh-CN"/>
              </w:rPr>
            </w:pPr>
          </w:p>
        </w:tc>
      </w:tr>
    </w:tbl>
    <w:p>
      <w:pPr>
        <w:pStyle w:val="36"/>
        <w:numPr>
          <w:ilvl w:val="0"/>
          <w:numId w:val="0"/>
        </w:numPr>
        <w:ind w:leftChars="0"/>
        <w:rPr>
          <w:rFonts w:hint="default" w:eastAsia="宋体"/>
          <w:b w:val="0"/>
          <w:bCs/>
          <w:sz w:val="22"/>
          <w:szCs w:val="22"/>
          <w:lang w:val="en-US" w:eastAsia="zh-CN"/>
        </w:rPr>
      </w:pPr>
      <w:r>
        <w:rPr>
          <w:rFonts w:hint="eastAsia"/>
          <w:b w:val="0"/>
          <w:bCs/>
          <w:sz w:val="22"/>
          <w:szCs w:val="22"/>
          <w:lang w:val="en-US" w:eastAsia="zh-CN"/>
        </w:rPr>
        <w:t>This paper discusses the issues listed above and provide our views.</w:t>
      </w:r>
    </w:p>
    <w:p>
      <w:pPr>
        <w:pStyle w:val="28"/>
        <w:jc w:val="both"/>
        <w:rPr>
          <w:rFonts w:hint="default" w:eastAsia="宋体"/>
          <w:lang w:val="en-US" w:eastAsia="zh-CN"/>
        </w:rPr>
      </w:pPr>
      <w:r>
        <w:t>2</w:t>
      </w:r>
      <w:r>
        <w:tab/>
      </w:r>
      <w:r>
        <w:rPr>
          <w:rFonts w:hint="eastAsia"/>
          <w:lang w:val="en-US" w:eastAsia="zh-CN"/>
        </w:rPr>
        <w:t>Discussions</w:t>
      </w:r>
    </w:p>
    <w:p>
      <w:pPr>
        <w:rPr>
          <w:b/>
          <w:color w:val="000000" w:themeColor="text1"/>
          <w:u w:val="single"/>
          <w:lang w:eastAsia="ko-KR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u w:val="single"/>
          <w:lang w:eastAsia="ko-KR"/>
          <w14:textFill>
            <w14:solidFill>
              <w14:schemeClr w14:val="tx1"/>
            </w14:solidFill>
          </w14:textFill>
        </w:rPr>
        <w:t>Issue 2-1-4: Impact on T</w:t>
      </w:r>
      <w:r>
        <w:rPr>
          <w:b/>
          <w:color w:val="000000" w:themeColor="text1"/>
          <w:u w:val="single"/>
          <w:vertAlign w:val="subscript"/>
          <w:lang w:eastAsia="ko-KR"/>
          <w14:textFill>
            <w14:solidFill>
              <w14:schemeClr w14:val="tx1"/>
            </w14:solidFill>
          </w14:textFill>
        </w:rPr>
        <w:t>search</w:t>
      </w:r>
      <w:r>
        <w:rPr>
          <w:b/>
          <w:color w:val="000000" w:themeColor="text1"/>
          <w:u w:val="single"/>
          <w:lang w:eastAsia="ko-KR"/>
          <w14:textFill>
            <w14:solidFill>
              <w14:schemeClr w14:val="tx1"/>
            </w14:solidFill>
          </w14:textFill>
        </w:rPr>
        <w:t xml:space="preserve"> (in HO) for 1Rx for FR1</w:t>
      </w:r>
    </w:p>
    <w:p>
      <w:pPr>
        <w:rPr>
          <w:rFonts w:hint="default"/>
          <w:b w:val="0"/>
          <w:bCs/>
          <w:sz w:val="22"/>
          <w:szCs w:val="22"/>
          <w:lang w:val="en-US" w:eastAsia="zh-CN"/>
        </w:rPr>
      </w:pPr>
      <w:r>
        <w:rPr>
          <w:rFonts w:hint="eastAsia"/>
          <w:b w:val="0"/>
          <w:bCs/>
          <w:sz w:val="22"/>
          <w:szCs w:val="22"/>
          <w:lang w:val="en-US" w:eastAsia="zh-CN"/>
        </w:rPr>
        <w:t xml:space="preserve">Here we think we may need to make some small clarifications. </w:t>
      </w:r>
      <w:r>
        <w:rPr>
          <w:rFonts w:hint="eastAsia" w:eastAsia="宋体"/>
          <w:bCs/>
          <w:iCs/>
          <w:snapToGrid w:val="0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T</w:t>
      </w:r>
      <w:r>
        <w:rPr>
          <w:rFonts w:eastAsia="Yu Mincho"/>
          <w:bCs/>
          <w:iCs/>
          <w:snapToGrid w:val="0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 xml:space="preserve">he R15 </w:t>
      </w:r>
      <w:r>
        <w:rPr>
          <w:rFonts w:eastAsia="Yu Mincho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T</w:t>
      </w:r>
      <w:r>
        <w:rPr>
          <w:rFonts w:eastAsia="Yu Mincho"/>
          <w:color w:val="000000" w:themeColor="text1"/>
          <w:sz w:val="22"/>
          <w:szCs w:val="22"/>
          <w:vertAlign w:val="subscript"/>
          <w14:textFill>
            <w14:solidFill>
              <w14:schemeClr w14:val="tx1"/>
            </w14:solidFill>
          </w14:textFill>
        </w:rPr>
        <w:t>search</w:t>
      </w:r>
      <w:r>
        <w:rPr>
          <w:rFonts w:eastAsia="Yu Mincho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 xml:space="preserve"> is defined based on the assumption that signal quality of the target unknown cell is sufficient for successful cell detection on the first attempt.</w:t>
      </w:r>
      <w:r>
        <w:rPr>
          <w:rFonts w:hint="eastAsia" w:eastAsia="宋体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 xml:space="preserve"> This means that there is a clear side condition for the requirements to apply. One simple option is to configure the transmit SINR in the TC to make sure that this side condition is still met.</w:t>
      </w:r>
    </w:p>
    <w:p>
      <w:pPr>
        <w:pStyle w:val="36"/>
        <w:rPr>
          <w:rFonts w:hint="default"/>
          <w:b w:val="0"/>
          <w:bCs/>
          <w:sz w:val="22"/>
          <w:szCs w:val="22"/>
          <w:lang w:val="en-US" w:eastAsia="zh-CN"/>
        </w:rPr>
      </w:pPr>
      <w:r>
        <w:rPr>
          <w:rFonts w:hint="eastAsia" w:eastAsia="宋体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Update the transmit SINR in the test cases to make sure that the side condition (</w:t>
      </w:r>
      <w:r>
        <w:rPr>
          <w:rFonts w:eastAsia="Yu Mincho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signal quality of the target unknown cell is sufficient for successful cell detection on the first attempt</w:t>
      </w:r>
      <w:r>
        <w:rPr>
          <w:rFonts w:hint="eastAsia" w:eastAsia="宋体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) is still met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b/>
          <w:bCs w:val="0"/>
          <w:sz w:val="22"/>
          <w:szCs w:val="22"/>
          <w:lang w:val="en-US" w:eastAsia="zh-CN"/>
        </w:rPr>
      </w:pPr>
      <w:r>
        <w:rPr>
          <w:b/>
          <w:color w:val="000000" w:themeColor="text1"/>
          <w:u w:val="single"/>
          <w:lang w:eastAsia="ko-KR"/>
          <w14:textFill>
            <w14:solidFill>
              <w14:schemeClr w14:val="tx1"/>
            </w14:solidFill>
          </w14:textFill>
        </w:rPr>
        <w:t>Issue 2-1-5: Impact on T</w:t>
      </w:r>
      <w:r>
        <w:rPr>
          <w:b/>
          <w:color w:val="000000" w:themeColor="text1"/>
          <w:u w:val="single"/>
          <w:vertAlign w:val="subscript"/>
          <w:lang w:eastAsia="ko-KR"/>
          <w14:textFill>
            <w14:solidFill>
              <w14:schemeClr w14:val="tx1"/>
            </w14:solidFill>
          </w14:textFill>
        </w:rPr>
        <w:t>search</w:t>
      </w:r>
      <w:r>
        <w:rPr>
          <w:b/>
          <w:color w:val="000000" w:themeColor="text1"/>
          <w:u w:val="single"/>
          <w:lang w:eastAsia="ko-KR"/>
          <w14:textFill>
            <w14:solidFill>
              <w14:schemeClr w14:val="tx1"/>
            </w14:solidFill>
          </w14:textFill>
        </w:rPr>
        <w:t xml:space="preserve"> (in HO) for FR2</w:t>
      </w:r>
    </w:p>
    <w:p>
      <w:pPr>
        <w:rPr>
          <w:rFonts w:hint="default"/>
          <w:b w:val="0"/>
          <w:bCs/>
          <w:sz w:val="22"/>
          <w:szCs w:val="22"/>
          <w:lang w:val="en-US" w:eastAsia="zh-CN"/>
        </w:rPr>
      </w:pPr>
      <w:r>
        <w:rPr>
          <w:rFonts w:hint="eastAsia"/>
          <w:b w:val="0"/>
          <w:bCs/>
          <w:sz w:val="22"/>
          <w:szCs w:val="22"/>
          <w:lang w:val="en-US" w:eastAsia="zh-CN"/>
        </w:rPr>
        <w:t>Here we want to mention another issue, since the new power classes are under discussions, the beam sweeping scalar 8 might be changed accordingly. Thus, we propose to keep the parameter N and say that the value of N depends on the outcome of new PCs.</w:t>
      </w:r>
    </w:p>
    <w:p>
      <w:pPr>
        <w:pStyle w:val="36"/>
        <w:rPr>
          <w:rFonts w:hint="default"/>
          <w:b/>
          <w:bCs w:val="0"/>
          <w:sz w:val="22"/>
          <w:szCs w:val="22"/>
          <w:lang w:val="en-US" w:eastAsia="zh-CN"/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>The value of beam sweeping scalar in FR2 may not always be 8 and shall depend on the outcome of potentially new power classes.</w:t>
      </w:r>
    </w:p>
    <w:p>
      <w:pPr>
        <w:rPr>
          <w:rFonts w:hint="eastAsia"/>
          <w:b/>
          <w:bCs w:val="0"/>
          <w:sz w:val="22"/>
          <w:szCs w:val="22"/>
          <w:lang w:val="en-US" w:eastAsia="zh-CN"/>
        </w:rPr>
      </w:pPr>
    </w:p>
    <w:p>
      <w:pPr>
        <w:rPr>
          <w:b/>
          <w:color w:val="000000" w:themeColor="text1"/>
          <w:u w:val="single"/>
          <w:lang w:eastAsia="ko-KR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u w:val="single"/>
          <w:lang w:eastAsia="ko-KR"/>
          <w14:textFill>
            <w14:solidFill>
              <w14:schemeClr w14:val="tx1"/>
            </w14:solidFill>
          </w14:textFill>
        </w:rPr>
        <w:t>Issue 2-1-8: Requirements for HD-FDD in HO</w:t>
      </w:r>
    </w:p>
    <w:p>
      <w:pPr>
        <w:rPr>
          <w:b/>
          <w:color w:val="000000" w:themeColor="text1"/>
          <w:u w:val="single"/>
          <w:lang w:eastAsia="ko-KR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u w:val="single"/>
          <w:lang w:eastAsia="ko-KR"/>
          <w14:textFill>
            <w14:solidFill>
              <w14:schemeClr w14:val="tx1"/>
            </w14:solidFill>
          </w14:textFill>
        </w:rPr>
        <w:t>Issue 2-3-5: Requirements for HD-FDD in RRC connection release with redirection</w:t>
      </w:r>
    </w:p>
    <w:p>
      <w:pPr>
        <w:rPr>
          <w:rFonts w:hint="default"/>
          <w:b/>
          <w:bCs w:val="0"/>
          <w:sz w:val="22"/>
          <w:szCs w:val="22"/>
          <w:lang w:val="en-US" w:eastAsia="zh-CN"/>
        </w:rPr>
      </w:pPr>
      <w:r>
        <w:rPr>
          <w:rFonts w:hint="eastAsia"/>
          <w:b w:val="0"/>
          <w:bCs/>
          <w:sz w:val="22"/>
          <w:szCs w:val="22"/>
          <w:lang w:val="en-US" w:eastAsia="zh-CN"/>
        </w:rPr>
        <w:t xml:space="preserve">We think that the intention can be understood, but there are some details to check. First of all what is included in the scope of </w:t>
      </w:r>
      <w:r>
        <w:rPr>
          <w:rFonts w:hint="default"/>
          <w:b w:val="0"/>
          <w:bCs/>
          <w:sz w:val="22"/>
          <w:szCs w:val="22"/>
          <w:lang w:val="en-US" w:eastAsia="zh-CN"/>
        </w:rPr>
        <w:t>“</w:t>
      </w:r>
      <w:r>
        <w:rPr>
          <w:rFonts w:hint="eastAsia"/>
          <w:b w:val="0"/>
          <w:bCs/>
          <w:sz w:val="22"/>
          <w:szCs w:val="22"/>
          <w:lang w:val="en-US" w:eastAsia="zh-CN"/>
        </w:rPr>
        <w:t>UL</w:t>
      </w:r>
      <w:r>
        <w:rPr>
          <w:rFonts w:hint="default"/>
          <w:b w:val="0"/>
          <w:bCs/>
          <w:sz w:val="22"/>
          <w:szCs w:val="22"/>
          <w:lang w:val="en-US" w:eastAsia="zh-CN"/>
        </w:rPr>
        <w:t>”</w:t>
      </w:r>
      <w:r>
        <w:rPr>
          <w:rFonts w:hint="eastAsia"/>
          <w:b w:val="0"/>
          <w:bCs/>
          <w:sz w:val="22"/>
          <w:szCs w:val="22"/>
          <w:lang w:val="en-US" w:eastAsia="zh-CN"/>
        </w:rPr>
        <w:t xml:space="preserve"> transmission in the proposal? In our view, RACH shall have the top priority and RACH is transmitted in UL.</w:t>
      </w:r>
    </w:p>
    <w:p>
      <w:pPr>
        <w:pStyle w:val="36"/>
        <w:rPr>
          <w:rFonts w:hint="default"/>
          <w:b/>
          <w:bCs w:val="0"/>
          <w:sz w:val="22"/>
          <w:szCs w:val="22"/>
          <w:lang w:val="en-US" w:eastAsia="zh-CN"/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>RACH shall have the top priority during HO.</w:t>
      </w:r>
    </w:p>
    <w:p>
      <w:pPr>
        <w:rPr>
          <w:rFonts w:hint="default"/>
          <w:b w:val="0"/>
          <w:bCs/>
          <w:sz w:val="22"/>
          <w:szCs w:val="22"/>
          <w:lang w:val="en-US" w:eastAsia="zh-CN"/>
        </w:rPr>
      </w:pPr>
      <w:r>
        <w:rPr>
          <w:rFonts w:hint="eastAsia"/>
          <w:b w:val="0"/>
          <w:bCs/>
          <w:sz w:val="22"/>
          <w:szCs w:val="22"/>
          <w:lang w:val="en-US" w:eastAsia="zh-CN"/>
        </w:rPr>
        <w:t>We also prefer not to capture anything that would limit the UE or network behavior. Any such proposals can be captured in the spec in a way that describes the applicability of the requirements, instead of the specific UE/NW behavior.</w:t>
      </w:r>
    </w:p>
    <w:p>
      <w:pPr>
        <w:pStyle w:val="36"/>
        <w:rPr>
          <w:rFonts w:hint="default"/>
          <w:b/>
          <w:bCs w:val="0"/>
          <w:sz w:val="22"/>
          <w:szCs w:val="22"/>
          <w:lang w:val="en-US" w:eastAsia="zh-CN"/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>Any agreement can be captured in the spec in a way that describes the applicability of the requirements, instead of mandating specific UE/NW behavior.</w:t>
      </w:r>
    </w:p>
    <w:p>
      <w:pPr>
        <w:rPr>
          <w:rFonts w:hint="default"/>
          <w:lang w:val="en-US" w:eastAsia="zh-CN"/>
        </w:rPr>
      </w:pPr>
    </w:p>
    <w:p>
      <w:pPr>
        <w:rPr>
          <w:b/>
          <w:bCs/>
          <w:u w:val="single"/>
          <w:lang w:val="en-US"/>
        </w:rPr>
      </w:pPr>
      <w:r>
        <w:rPr>
          <w:b/>
          <w:bCs/>
          <w:u w:val="single"/>
          <w:lang w:val="en-US"/>
        </w:rPr>
        <w:t>Impact on RA requirements</w:t>
      </w:r>
    </w:p>
    <w:p>
      <w:pPr>
        <w:rPr>
          <w:rFonts w:hint="default"/>
          <w:b w:val="0"/>
          <w:bCs/>
          <w:sz w:val="22"/>
          <w:szCs w:val="22"/>
          <w:lang w:val="en-US" w:eastAsia="zh-CN"/>
        </w:rPr>
      </w:pPr>
      <w:r>
        <w:rPr>
          <w:rFonts w:hint="eastAsia"/>
          <w:b w:val="0"/>
          <w:bCs/>
          <w:sz w:val="22"/>
          <w:szCs w:val="22"/>
          <w:lang w:val="en-US" w:eastAsia="zh-CN"/>
        </w:rPr>
        <w:t>We have one thing to clarify on, which is the early identification. From our understanding early identification is to help the network to identify that a UE belongs to RedCap category or not, and is a purely network behavior / function. We don</w:t>
      </w:r>
      <w:r>
        <w:rPr>
          <w:rFonts w:hint="default"/>
          <w:b w:val="0"/>
          <w:bCs/>
          <w:sz w:val="22"/>
          <w:szCs w:val="22"/>
          <w:lang w:val="en-US" w:eastAsia="zh-CN"/>
        </w:rPr>
        <w:t>’</w:t>
      </w:r>
      <w:r>
        <w:rPr>
          <w:rFonts w:hint="eastAsia"/>
          <w:b w:val="0"/>
          <w:bCs/>
          <w:sz w:val="22"/>
          <w:szCs w:val="22"/>
          <w:lang w:val="en-US" w:eastAsia="zh-CN"/>
        </w:rPr>
        <w:t>t see why this would impact RA requirements on the UE side.</w:t>
      </w:r>
    </w:p>
    <w:p>
      <w:pPr>
        <w:pStyle w:val="36"/>
        <w:rPr>
          <w:rFonts w:hint="default"/>
          <w:b/>
          <w:bCs w:val="0"/>
          <w:sz w:val="22"/>
          <w:szCs w:val="22"/>
          <w:lang w:val="en-US" w:eastAsia="zh-CN"/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>Early identification doesn</w:t>
      </w:r>
      <w:r>
        <w:rPr>
          <w:rFonts w:hint="default"/>
          <w:b/>
          <w:bCs w:val="0"/>
          <w:sz w:val="22"/>
          <w:szCs w:val="22"/>
          <w:lang w:val="en-US" w:eastAsia="zh-CN"/>
        </w:rPr>
        <w:t>’</w:t>
      </w:r>
      <w:r>
        <w:rPr>
          <w:rFonts w:hint="eastAsia"/>
          <w:b/>
          <w:bCs w:val="0"/>
          <w:sz w:val="22"/>
          <w:szCs w:val="22"/>
          <w:lang w:val="en-US" w:eastAsia="zh-CN"/>
        </w:rPr>
        <w:t>t impact RA requirements.</w:t>
      </w:r>
    </w:p>
    <w:p>
      <w:pPr>
        <w:pStyle w:val="28"/>
        <w:jc w:val="both"/>
      </w:pPr>
      <w:r>
        <w:rPr>
          <w:rFonts w:hint="eastAsia"/>
          <w:lang w:val="en-US" w:eastAsia="zh-CN"/>
        </w:rPr>
        <w:t>3</w:t>
      </w:r>
      <w:r>
        <w:tab/>
      </w:r>
      <w:r>
        <w:t>Conclusion</w:t>
      </w:r>
    </w:p>
    <w:p>
      <w:pPr>
        <w:pStyle w:val="36"/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 xml:space="preserve">Proposal 1: </w:t>
      </w:r>
      <w:r>
        <w:rPr>
          <w:rFonts w:hint="eastAsia" w:eastAsia="宋体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Update the transmit SINR in the test cases to make sure that the side condition (</w:t>
      </w:r>
      <w:r>
        <w:rPr>
          <w:rFonts w:eastAsia="Yu Mincho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signal quality of the target unknown cell is sufficient for successful cell detection on the first attempt</w:t>
      </w:r>
      <w:r>
        <w:rPr>
          <w:rFonts w:hint="eastAsia" w:eastAsia="宋体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) is still met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rPr>
          <w:rFonts w:hint="eastAsia"/>
          <w:b/>
          <w:bCs w:val="0"/>
          <w:sz w:val="22"/>
          <w:szCs w:val="22"/>
          <w:lang w:val="en-US" w:eastAsia="zh-CN"/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>Proposal 2: The value of beam sweeping scalar in FR2 may not always be 8 and shall depend on the outcome of potentially new power classes.</w:t>
      </w:r>
    </w:p>
    <w:p>
      <w:pPr>
        <w:rPr>
          <w:rFonts w:hint="eastAsia"/>
          <w:b/>
          <w:bCs w:val="0"/>
          <w:sz w:val="22"/>
          <w:szCs w:val="22"/>
          <w:lang w:val="en-US" w:eastAsia="zh-CN"/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>Proposal 3: RACH shall have the top priority during HO.</w:t>
      </w:r>
    </w:p>
    <w:p>
      <w:pPr>
        <w:rPr>
          <w:rFonts w:hint="eastAsia"/>
          <w:b/>
          <w:bCs w:val="0"/>
          <w:sz w:val="22"/>
          <w:szCs w:val="22"/>
          <w:lang w:val="en-US" w:eastAsia="zh-CN"/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>Proposal 4: Any agreement can be captured in the spec in a way that describes the applicability of the requirements, instead of mandating specific UE/NW behavior.</w:t>
      </w:r>
    </w:p>
    <w:p>
      <w:pPr>
        <w:rPr>
          <w:rFonts w:hint="eastAsia"/>
          <w:b/>
          <w:bCs w:val="0"/>
          <w:sz w:val="22"/>
          <w:szCs w:val="22"/>
          <w:lang w:val="en-US" w:eastAsia="zh-CN"/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>Proposal 5: Early identification doesn</w:t>
      </w:r>
      <w:r>
        <w:rPr>
          <w:rFonts w:hint="default"/>
          <w:b/>
          <w:bCs w:val="0"/>
          <w:sz w:val="22"/>
          <w:szCs w:val="22"/>
          <w:lang w:val="en-US" w:eastAsia="zh-CN"/>
        </w:rPr>
        <w:t>’</w:t>
      </w:r>
      <w:r>
        <w:rPr>
          <w:rFonts w:hint="eastAsia"/>
          <w:b/>
          <w:bCs w:val="0"/>
          <w:sz w:val="22"/>
          <w:szCs w:val="22"/>
          <w:lang w:val="en-US" w:eastAsia="zh-CN"/>
        </w:rPr>
        <w:t>t impact RA requirements.</w:t>
      </w:r>
    </w:p>
    <w:p>
      <w:pPr>
        <w:pStyle w:val="28"/>
        <w:jc w:val="both"/>
      </w:pPr>
      <w:r>
        <w:t>References</w:t>
      </w:r>
    </w:p>
    <w:p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R4-2120418</w:t>
      </w:r>
    </w:p>
    <w:p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R4-2120374</w:t>
      </w:r>
    </w:p>
    <w:p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hint="eastAsia" w:eastAsia="宋体"/>
          <w:sz w:val="22"/>
          <w:szCs w:val="22"/>
          <w:lang w:val="en-US" w:eastAsia="zh-CN"/>
        </w:rPr>
      </w:pPr>
    </w:p>
    <w:sectPr>
      <w:pgSz w:w="11907" w:h="16840"/>
      <w:pgMar w:top="1412" w:right="1140" w:bottom="1140" w:left="1140" w:header="680" w:footer="567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4163E"/>
    <w:multiLevelType w:val="multilevel"/>
    <w:tmpl w:val="05A4163E"/>
    <w:lvl w:ilvl="0" w:tentative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15E67F1"/>
    <w:multiLevelType w:val="multilevel"/>
    <w:tmpl w:val="115E67F1"/>
    <w:lvl w:ilvl="0" w:tentative="0">
      <w:start w:val="202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MS Mincho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46B43B9D"/>
    <w:multiLevelType w:val="multilevel"/>
    <w:tmpl w:val="46B43B9D"/>
    <w:lvl w:ilvl="0" w:tentative="0">
      <w:start w:val="1"/>
      <w:numFmt w:val="decimal"/>
      <w:pStyle w:val="30"/>
      <w:suff w:val="space"/>
      <w:lvlText w:val="Observation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D6E3167"/>
    <w:multiLevelType w:val="multilevel"/>
    <w:tmpl w:val="4D6E3167"/>
    <w:lvl w:ilvl="0" w:tentative="0">
      <w:start w:val="1"/>
      <w:numFmt w:val="decimal"/>
      <w:pStyle w:val="36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DA44281"/>
    <w:multiLevelType w:val="multilevel"/>
    <w:tmpl w:val="4DA44281"/>
    <w:lvl w:ilvl="0" w:tentative="0">
      <w:start w:val="1"/>
      <w:numFmt w:val="decimal"/>
      <w:pStyle w:val="32"/>
      <w:lvlText w:val="Proposal %1:"/>
      <w:lvlJc w:val="left"/>
      <w:pPr>
        <w:ind w:left="72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1F44A7"/>
    <w:multiLevelType w:val="multilevel"/>
    <w:tmpl w:val="521F44A7"/>
    <w:lvl w:ilvl="0" w:tentative="0">
      <w:start w:val="1"/>
      <w:numFmt w:val="bullet"/>
      <w:pStyle w:val="51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70146DC0"/>
    <w:multiLevelType w:val="multilevel"/>
    <w:tmpl w:val="70146DC0"/>
    <w:lvl w:ilvl="0" w:tentative="0">
      <w:start w:val="1"/>
      <w:numFmt w:val="bullet"/>
      <w:pStyle w:val="47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0"/>
  <w:bordersDoNotSurroundFooter w:val="0"/>
  <w:documentProtection w:enforcement="0"/>
  <w:defaultTabStop w:val="720"/>
  <w:hyphenationZone w:val="425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BCD"/>
    <w:rsid w:val="00001C9B"/>
    <w:rsid w:val="00024821"/>
    <w:rsid w:val="00075081"/>
    <w:rsid w:val="0008612A"/>
    <w:rsid w:val="000A5622"/>
    <w:rsid w:val="000B0056"/>
    <w:rsid w:val="000B615D"/>
    <w:rsid w:val="000D3E70"/>
    <w:rsid w:val="000D5C4C"/>
    <w:rsid w:val="000D6D48"/>
    <w:rsid w:val="001109F8"/>
    <w:rsid w:val="00124459"/>
    <w:rsid w:val="00127DE6"/>
    <w:rsid w:val="00130600"/>
    <w:rsid w:val="0013103E"/>
    <w:rsid w:val="00142412"/>
    <w:rsid w:val="00143E75"/>
    <w:rsid w:val="001500E4"/>
    <w:rsid w:val="0015341D"/>
    <w:rsid w:val="00162FA0"/>
    <w:rsid w:val="001745F8"/>
    <w:rsid w:val="00181541"/>
    <w:rsid w:val="001838CF"/>
    <w:rsid w:val="0019220B"/>
    <w:rsid w:val="00192A0F"/>
    <w:rsid w:val="00195E2B"/>
    <w:rsid w:val="001A72C1"/>
    <w:rsid w:val="001B2870"/>
    <w:rsid w:val="001D54CB"/>
    <w:rsid w:val="001E30F6"/>
    <w:rsid w:val="001F364B"/>
    <w:rsid w:val="00200081"/>
    <w:rsid w:val="002051FF"/>
    <w:rsid w:val="00206975"/>
    <w:rsid w:val="002079EF"/>
    <w:rsid w:val="002154C0"/>
    <w:rsid w:val="00231C79"/>
    <w:rsid w:val="00235F5C"/>
    <w:rsid w:val="002364CF"/>
    <w:rsid w:val="002378DF"/>
    <w:rsid w:val="00282637"/>
    <w:rsid w:val="002853E1"/>
    <w:rsid w:val="00287B2D"/>
    <w:rsid w:val="002A4B7B"/>
    <w:rsid w:val="002A6280"/>
    <w:rsid w:val="002B26BF"/>
    <w:rsid w:val="002B4922"/>
    <w:rsid w:val="002B6964"/>
    <w:rsid w:val="002B7C4E"/>
    <w:rsid w:val="002C2D19"/>
    <w:rsid w:val="002C4FA4"/>
    <w:rsid w:val="002C54F8"/>
    <w:rsid w:val="002D0A10"/>
    <w:rsid w:val="002D10FA"/>
    <w:rsid w:val="002D4C55"/>
    <w:rsid w:val="0030574A"/>
    <w:rsid w:val="0032066B"/>
    <w:rsid w:val="00333C93"/>
    <w:rsid w:val="00334967"/>
    <w:rsid w:val="00334C4B"/>
    <w:rsid w:val="00336C53"/>
    <w:rsid w:val="00336CAE"/>
    <w:rsid w:val="003776D8"/>
    <w:rsid w:val="0038445C"/>
    <w:rsid w:val="003A23FA"/>
    <w:rsid w:val="003B01D3"/>
    <w:rsid w:val="003B659E"/>
    <w:rsid w:val="003D6875"/>
    <w:rsid w:val="003E0127"/>
    <w:rsid w:val="003E5526"/>
    <w:rsid w:val="003E5C9D"/>
    <w:rsid w:val="003F5961"/>
    <w:rsid w:val="00417CF1"/>
    <w:rsid w:val="00423A76"/>
    <w:rsid w:val="00433E52"/>
    <w:rsid w:val="0043750A"/>
    <w:rsid w:val="00454DA2"/>
    <w:rsid w:val="00475300"/>
    <w:rsid w:val="004765AE"/>
    <w:rsid w:val="0048457F"/>
    <w:rsid w:val="00493619"/>
    <w:rsid w:val="004A49A3"/>
    <w:rsid w:val="004B4607"/>
    <w:rsid w:val="004B7E0A"/>
    <w:rsid w:val="004C248A"/>
    <w:rsid w:val="004D025F"/>
    <w:rsid w:val="004D1556"/>
    <w:rsid w:val="004D2FC5"/>
    <w:rsid w:val="004E5E66"/>
    <w:rsid w:val="00503B4D"/>
    <w:rsid w:val="00504EE9"/>
    <w:rsid w:val="00522832"/>
    <w:rsid w:val="0054442C"/>
    <w:rsid w:val="00550285"/>
    <w:rsid w:val="0055059D"/>
    <w:rsid w:val="00554227"/>
    <w:rsid w:val="00556D62"/>
    <w:rsid w:val="0056348E"/>
    <w:rsid w:val="0057263A"/>
    <w:rsid w:val="005836F8"/>
    <w:rsid w:val="00585575"/>
    <w:rsid w:val="005A1915"/>
    <w:rsid w:val="005A1E00"/>
    <w:rsid w:val="005A71DA"/>
    <w:rsid w:val="005C12DF"/>
    <w:rsid w:val="005D3CA8"/>
    <w:rsid w:val="005D5522"/>
    <w:rsid w:val="005E23C5"/>
    <w:rsid w:val="005E3768"/>
    <w:rsid w:val="005E61A8"/>
    <w:rsid w:val="005E7767"/>
    <w:rsid w:val="005F2DE7"/>
    <w:rsid w:val="005F6419"/>
    <w:rsid w:val="00603A42"/>
    <w:rsid w:val="00617400"/>
    <w:rsid w:val="00625942"/>
    <w:rsid w:val="00625F52"/>
    <w:rsid w:val="00664950"/>
    <w:rsid w:val="00676B91"/>
    <w:rsid w:val="006779C9"/>
    <w:rsid w:val="00683220"/>
    <w:rsid w:val="00687FA0"/>
    <w:rsid w:val="006A14FD"/>
    <w:rsid w:val="006B7010"/>
    <w:rsid w:val="006C1F67"/>
    <w:rsid w:val="006D241A"/>
    <w:rsid w:val="006D70D8"/>
    <w:rsid w:val="006E3B4A"/>
    <w:rsid w:val="006F7229"/>
    <w:rsid w:val="006F7313"/>
    <w:rsid w:val="006F7D95"/>
    <w:rsid w:val="007041B5"/>
    <w:rsid w:val="0070502B"/>
    <w:rsid w:val="00711292"/>
    <w:rsid w:val="007145FF"/>
    <w:rsid w:val="00716C73"/>
    <w:rsid w:val="0072415A"/>
    <w:rsid w:val="00725D92"/>
    <w:rsid w:val="00747E34"/>
    <w:rsid w:val="0075150C"/>
    <w:rsid w:val="00751515"/>
    <w:rsid w:val="007578E8"/>
    <w:rsid w:val="00761FF8"/>
    <w:rsid w:val="007656CC"/>
    <w:rsid w:val="00773A23"/>
    <w:rsid w:val="00780D36"/>
    <w:rsid w:val="00785232"/>
    <w:rsid w:val="00792922"/>
    <w:rsid w:val="007C00C7"/>
    <w:rsid w:val="007C287D"/>
    <w:rsid w:val="007C3ED0"/>
    <w:rsid w:val="007C4120"/>
    <w:rsid w:val="007E2129"/>
    <w:rsid w:val="00806A76"/>
    <w:rsid w:val="00811C9D"/>
    <w:rsid w:val="00816C80"/>
    <w:rsid w:val="00825BAF"/>
    <w:rsid w:val="00841BCD"/>
    <w:rsid w:val="00857CB7"/>
    <w:rsid w:val="00864992"/>
    <w:rsid w:val="00870CCB"/>
    <w:rsid w:val="008826C1"/>
    <w:rsid w:val="00886AF2"/>
    <w:rsid w:val="00894F68"/>
    <w:rsid w:val="008A4AC4"/>
    <w:rsid w:val="008B1670"/>
    <w:rsid w:val="008C2FE3"/>
    <w:rsid w:val="008C7844"/>
    <w:rsid w:val="008E31F8"/>
    <w:rsid w:val="008E67FB"/>
    <w:rsid w:val="008F5164"/>
    <w:rsid w:val="009042BD"/>
    <w:rsid w:val="009208EB"/>
    <w:rsid w:val="00924F0B"/>
    <w:rsid w:val="00925178"/>
    <w:rsid w:val="009251D1"/>
    <w:rsid w:val="00926655"/>
    <w:rsid w:val="00934BEC"/>
    <w:rsid w:val="009379CD"/>
    <w:rsid w:val="00954212"/>
    <w:rsid w:val="00960F12"/>
    <w:rsid w:val="00960F25"/>
    <w:rsid w:val="00970D3C"/>
    <w:rsid w:val="00973CFD"/>
    <w:rsid w:val="00977E1D"/>
    <w:rsid w:val="00980373"/>
    <w:rsid w:val="00985535"/>
    <w:rsid w:val="009A2D2B"/>
    <w:rsid w:val="009B227B"/>
    <w:rsid w:val="009B602E"/>
    <w:rsid w:val="009B6C1A"/>
    <w:rsid w:val="009E34DF"/>
    <w:rsid w:val="00A10C4E"/>
    <w:rsid w:val="00A22B78"/>
    <w:rsid w:val="00A2461A"/>
    <w:rsid w:val="00A25AE5"/>
    <w:rsid w:val="00A409BB"/>
    <w:rsid w:val="00A460FA"/>
    <w:rsid w:val="00A625A6"/>
    <w:rsid w:val="00A80C41"/>
    <w:rsid w:val="00A832D5"/>
    <w:rsid w:val="00A907CB"/>
    <w:rsid w:val="00A90E3B"/>
    <w:rsid w:val="00AA1B0E"/>
    <w:rsid w:val="00AA6DBC"/>
    <w:rsid w:val="00AC5CA7"/>
    <w:rsid w:val="00AD1216"/>
    <w:rsid w:val="00AF0857"/>
    <w:rsid w:val="00B23C25"/>
    <w:rsid w:val="00B2742E"/>
    <w:rsid w:val="00B4460A"/>
    <w:rsid w:val="00B469B2"/>
    <w:rsid w:val="00B62B54"/>
    <w:rsid w:val="00B72BC9"/>
    <w:rsid w:val="00BA6E48"/>
    <w:rsid w:val="00BB1F30"/>
    <w:rsid w:val="00BB486B"/>
    <w:rsid w:val="00BB6036"/>
    <w:rsid w:val="00BC08CB"/>
    <w:rsid w:val="00BC20DA"/>
    <w:rsid w:val="00BC4263"/>
    <w:rsid w:val="00BC4539"/>
    <w:rsid w:val="00BC7C70"/>
    <w:rsid w:val="00BD1516"/>
    <w:rsid w:val="00BE3E89"/>
    <w:rsid w:val="00BF2218"/>
    <w:rsid w:val="00C07FAE"/>
    <w:rsid w:val="00C52E17"/>
    <w:rsid w:val="00C65C70"/>
    <w:rsid w:val="00C718E5"/>
    <w:rsid w:val="00C953A4"/>
    <w:rsid w:val="00CA22D5"/>
    <w:rsid w:val="00CA6ADC"/>
    <w:rsid w:val="00CC2C6A"/>
    <w:rsid w:val="00CD7492"/>
    <w:rsid w:val="00CE3A6B"/>
    <w:rsid w:val="00CF4364"/>
    <w:rsid w:val="00CF4F06"/>
    <w:rsid w:val="00D00211"/>
    <w:rsid w:val="00D035F7"/>
    <w:rsid w:val="00D041D9"/>
    <w:rsid w:val="00D06309"/>
    <w:rsid w:val="00D12838"/>
    <w:rsid w:val="00D23335"/>
    <w:rsid w:val="00D351EA"/>
    <w:rsid w:val="00D3647B"/>
    <w:rsid w:val="00D43403"/>
    <w:rsid w:val="00D51F31"/>
    <w:rsid w:val="00D53298"/>
    <w:rsid w:val="00D62E71"/>
    <w:rsid w:val="00D740CA"/>
    <w:rsid w:val="00D85728"/>
    <w:rsid w:val="00D91DE2"/>
    <w:rsid w:val="00DB14A7"/>
    <w:rsid w:val="00DB5EE5"/>
    <w:rsid w:val="00DE35F7"/>
    <w:rsid w:val="00DF2997"/>
    <w:rsid w:val="00DF3461"/>
    <w:rsid w:val="00E0198A"/>
    <w:rsid w:val="00E10147"/>
    <w:rsid w:val="00E15BED"/>
    <w:rsid w:val="00E31689"/>
    <w:rsid w:val="00E61110"/>
    <w:rsid w:val="00E8590A"/>
    <w:rsid w:val="00EA2CB2"/>
    <w:rsid w:val="00EC5F4D"/>
    <w:rsid w:val="00EC7BC3"/>
    <w:rsid w:val="00ED17D0"/>
    <w:rsid w:val="00ED601F"/>
    <w:rsid w:val="00ED7600"/>
    <w:rsid w:val="00EE1CDC"/>
    <w:rsid w:val="00EF3E91"/>
    <w:rsid w:val="00F04C45"/>
    <w:rsid w:val="00F1362C"/>
    <w:rsid w:val="00F21A14"/>
    <w:rsid w:val="00F72507"/>
    <w:rsid w:val="00F72ED0"/>
    <w:rsid w:val="00F824F5"/>
    <w:rsid w:val="00FA5814"/>
    <w:rsid w:val="00FB3E7A"/>
    <w:rsid w:val="00FB49DD"/>
    <w:rsid w:val="00FC138C"/>
    <w:rsid w:val="00FC1E8B"/>
    <w:rsid w:val="00FC29B9"/>
    <w:rsid w:val="00FC6FD3"/>
    <w:rsid w:val="00FD04FD"/>
    <w:rsid w:val="00FD2D1E"/>
    <w:rsid w:val="00FF6C99"/>
    <w:rsid w:val="012F6E78"/>
    <w:rsid w:val="016E368C"/>
    <w:rsid w:val="017B5E4B"/>
    <w:rsid w:val="018D054D"/>
    <w:rsid w:val="01FF08B3"/>
    <w:rsid w:val="028676F2"/>
    <w:rsid w:val="02867938"/>
    <w:rsid w:val="02B274E2"/>
    <w:rsid w:val="02BD7990"/>
    <w:rsid w:val="02C25D33"/>
    <w:rsid w:val="030809EC"/>
    <w:rsid w:val="031F43A1"/>
    <w:rsid w:val="037A379D"/>
    <w:rsid w:val="039A1BDA"/>
    <w:rsid w:val="03AE4991"/>
    <w:rsid w:val="03C6506D"/>
    <w:rsid w:val="03EB68E0"/>
    <w:rsid w:val="03F37217"/>
    <w:rsid w:val="04394A7A"/>
    <w:rsid w:val="046B1F2F"/>
    <w:rsid w:val="04C77D0A"/>
    <w:rsid w:val="04D5204C"/>
    <w:rsid w:val="051F0641"/>
    <w:rsid w:val="059B61E4"/>
    <w:rsid w:val="05A86143"/>
    <w:rsid w:val="05D42FA6"/>
    <w:rsid w:val="06105DAC"/>
    <w:rsid w:val="066957D5"/>
    <w:rsid w:val="068A29F7"/>
    <w:rsid w:val="069766CC"/>
    <w:rsid w:val="07222E42"/>
    <w:rsid w:val="07432934"/>
    <w:rsid w:val="07502CA2"/>
    <w:rsid w:val="07654F8B"/>
    <w:rsid w:val="078B76F8"/>
    <w:rsid w:val="079D410C"/>
    <w:rsid w:val="07C928A9"/>
    <w:rsid w:val="07D3429D"/>
    <w:rsid w:val="07D735D1"/>
    <w:rsid w:val="080A5373"/>
    <w:rsid w:val="08641205"/>
    <w:rsid w:val="0868025F"/>
    <w:rsid w:val="0873226E"/>
    <w:rsid w:val="08935729"/>
    <w:rsid w:val="08C654D4"/>
    <w:rsid w:val="08CC5D10"/>
    <w:rsid w:val="092C45E6"/>
    <w:rsid w:val="097F6CB7"/>
    <w:rsid w:val="099F556C"/>
    <w:rsid w:val="09AC0546"/>
    <w:rsid w:val="09C640C3"/>
    <w:rsid w:val="0A5763D4"/>
    <w:rsid w:val="0A7BF868"/>
    <w:rsid w:val="0A9573F8"/>
    <w:rsid w:val="0B0E3CBB"/>
    <w:rsid w:val="0B7322DC"/>
    <w:rsid w:val="0B73279C"/>
    <w:rsid w:val="0BB77882"/>
    <w:rsid w:val="0C264ADF"/>
    <w:rsid w:val="0C2966BC"/>
    <w:rsid w:val="0C2A1653"/>
    <w:rsid w:val="0C3C5307"/>
    <w:rsid w:val="0C3E160C"/>
    <w:rsid w:val="0C56263C"/>
    <w:rsid w:val="0C5E2B8A"/>
    <w:rsid w:val="0D102274"/>
    <w:rsid w:val="0D396824"/>
    <w:rsid w:val="0D7C260E"/>
    <w:rsid w:val="0D9D0080"/>
    <w:rsid w:val="0DA958CA"/>
    <w:rsid w:val="0DF104D3"/>
    <w:rsid w:val="0E1C586B"/>
    <w:rsid w:val="0E2D1B5C"/>
    <w:rsid w:val="0E5D5336"/>
    <w:rsid w:val="0E8A024B"/>
    <w:rsid w:val="0ED138E6"/>
    <w:rsid w:val="0F130B06"/>
    <w:rsid w:val="0F67780F"/>
    <w:rsid w:val="0F6F6856"/>
    <w:rsid w:val="0F8F3C2A"/>
    <w:rsid w:val="0FA9435B"/>
    <w:rsid w:val="0FB648CB"/>
    <w:rsid w:val="0FD0731A"/>
    <w:rsid w:val="0FF1533A"/>
    <w:rsid w:val="0FFE0AFA"/>
    <w:rsid w:val="106E1BEC"/>
    <w:rsid w:val="10732202"/>
    <w:rsid w:val="10860ED5"/>
    <w:rsid w:val="10AA3C13"/>
    <w:rsid w:val="10CA41CF"/>
    <w:rsid w:val="10CD0B75"/>
    <w:rsid w:val="110C4D24"/>
    <w:rsid w:val="11226186"/>
    <w:rsid w:val="11283655"/>
    <w:rsid w:val="113B0066"/>
    <w:rsid w:val="11F71F3A"/>
    <w:rsid w:val="11FC7DAB"/>
    <w:rsid w:val="122017FC"/>
    <w:rsid w:val="12753179"/>
    <w:rsid w:val="128409CA"/>
    <w:rsid w:val="12BB3A94"/>
    <w:rsid w:val="12EF585C"/>
    <w:rsid w:val="13262572"/>
    <w:rsid w:val="13406D8C"/>
    <w:rsid w:val="136D11EC"/>
    <w:rsid w:val="137D50D6"/>
    <w:rsid w:val="139B3B65"/>
    <w:rsid w:val="13A62830"/>
    <w:rsid w:val="13D36053"/>
    <w:rsid w:val="13ED648B"/>
    <w:rsid w:val="13F75352"/>
    <w:rsid w:val="141E7377"/>
    <w:rsid w:val="14220722"/>
    <w:rsid w:val="14631685"/>
    <w:rsid w:val="14714CFD"/>
    <w:rsid w:val="1480544B"/>
    <w:rsid w:val="14B36B91"/>
    <w:rsid w:val="14DE3D1B"/>
    <w:rsid w:val="15DD3861"/>
    <w:rsid w:val="16222725"/>
    <w:rsid w:val="162900B5"/>
    <w:rsid w:val="1634239A"/>
    <w:rsid w:val="16394032"/>
    <w:rsid w:val="164F667E"/>
    <w:rsid w:val="165D0583"/>
    <w:rsid w:val="16654289"/>
    <w:rsid w:val="16BA6C12"/>
    <w:rsid w:val="16CB37AF"/>
    <w:rsid w:val="16DB79C9"/>
    <w:rsid w:val="16F55CC6"/>
    <w:rsid w:val="17141F2D"/>
    <w:rsid w:val="176F5C05"/>
    <w:rsid w:val="17A076C4"/>
    <w:rsid w:val="17A62BCE"/>
    <w:rsid w:val="17E12498"/>
    <w:rsid w:val="17E826AB"/>
    <w:rsid w:val="17ED54B6"/>
    <w:rsid w:val="17F90ED2"/>
    <w:rsid w:val="183A1D2E"/>
    <w:rsid w:val="18407C50"/>
    <w:rsid w:val="1872258F"/>
    <w:rsid w:val="18D3414F"/>
    <w:rsid w:val="18D91924"/>
    <w:rsid w:val="194132DA"/>
    <w:rsid w:val="19566969"/>
    <w:rsid w:val="195A003F"/>
    <w:rsid w:val="19831412"/>
    <w:rsid w:val="199B5421"/>
    <w:rsid w:val="19A96435"/>
    <w:rsid w:val="19E43A3D"/>
    <w:rsid w:val="1A0B3A21"/>
    <w:rsid w:val="1A352FE3"/>
    <w:rsid w:val="1B3329B5"/>
    <w:rsid w:val="1B595D85"/>
    <w:rsid w:val="1B7F155B"/>
    <w:rsid w:val="1BAE2A00"/>
    <w:rsid w:val="1C336FF5"/>
    <w:rsid w:val="1C525206"/>
    <w:rsid w:val="1C5E2F54"/>
    <w:rsid w:val="1CA0799D"/>
    <w:rsid w:val="1CB80D82"/>
    <w:rsid w:val="1CDA242C"/>
    <w:rsid w:val="1CFB2AC1"/>
    <w:rsid w:val="1D134EED"/>
    <w:rsid w:val="1D1F1294"/>
    <w:rsid w:val="1D85535E"/>
    <w:rsid w:val="1DB41841"/>
    <w:rsid w:val="1DE45821"/>
    <w:rsid w:val="1DF64986"/>
    <w:rsid w:val="1E8806BC"/>
    <w:rsid w:val="1EA137E3"/>
    <w:rsid w:val="1EC97F44"/>
    <w:rsid w:val="1EFE118E"/>
    <w:rsid w:val="1F0936F5"/>
    <w:rsid w:val="1F17474D"/>
    <w:rsid w:val="1F2B10F9"/>
    <w:rsid w:val="1F711839"/>
    <w:rsid w:val="1F8A172B"/>
    <w:rsid w:val="1FA564C4"/>
    <w:rsid w:val="1FB065B8"/>
    <w:rsid w:val="200D067C"/>
    <w:rsid w:val="20811B82"/>
    <w:rsid w:val="20A662B2"/>
    <w:rsid w:val="21091739"/>
    <w:rsid w:val="211451D0"/>
    <w:rsid w:val="211B0B99"/>
    <w:rsid w:val="21402B64"/>
    <w:rsid w:val="2151075A"/>
    <w:rsid w:val="2187422D"/>
    <w:rsid w:val="219E74A3"/>
    <w:rsid w:val="22271C95"/>
    <w:rsid w:val="22503B64"/>
    <w:rsid w:val="22571B82"/>
    <w:rsid w:val="22843CEF"/>
    <w:rsid w:val="22920D1D"/>
    <w:rsid w:val="22C0245E"/>
    <w:rsid w:val="22DF0545"/>
    <w:rsid w:val="231C53C0"/>
    <w:rsid w:val="23514077"/>
    <w:rsid w:val="236A351B"/>
    <w:rsid w:val="23855295"/>
    <w:rsid w:val="238F59E1"/>
    <w:rsid w:val="23B20773"/>
    <w:rsid w:val="23CF6D67"/>
    <w:rsid w:val="23FF1EED"/>
    <w:rsid w:val="248F188B"/>
    <w:rsid w:val="24BD0518"/>
    <w:rsid w:val="24E91488"/>
    <w:rsid w:val="25077EC5"/>
    <w:rsid w:val="256A021C"/>
    <w:rsid w:val="25830F3A"/>
    <w:rsid w:val="25962669"/>
    <w:rsid w:val="25C20278"/>
    <w:rsid w:val="25C545AD"/>
    <w:rsid w:val="262D62D9"/>
    <w:rsid w:val="26681CAB"/>
    <w:rsid w:val="267E5FCE"/>
    <w:rsid w:val="273D6335"/>
    <w:rsid w:val="27572E0B"/>
    <w:rsid w:val="2762235C"/>
    <w:rsid w:val="276537E8"/>
    <w:rsid w:val="27A34066"/>
    <w:rsid w:val="280C272A"/>
    <w:rsid w:val="281B6C69"/>
    <w:rsid w:val="284E33F7"/>
    <w:rsid w:val="287A3770"/>
    <w:rsid w:val="28C759BF"/>
    <w:rsid w:val="290A138C"/>
    <w:rsid w:val="29116F17"/>
    <w:rsid w:val="293606FA"/>
    <w:rsid w:val="29517179"/>
    <w:rsid w:val="29A15110"/>
    <w:rsid w:val="29BA77CB"/>
    <w:rsid w:val="29E7086A"/>
    <w:rsid w:val="2A1219AD"/>
    <w:rsid w:val="2A394321"/>
    <w:rsid w:val="2A532672"/>
    <w:rsid w:val="2AAF72F6"/>
    <w:rsid w:val="2AE26D3F"/>
    <w:rsid w:val="2AF125AB"/>
    <w:rsid w:val="2AF8774D"/>
    <w:rsid w:val="2B0F6E62"/>
    <w:rsid w:val="2B3F4136"/>
    <w:rsid w:val="2B5F7B9D"/>
    <w:rsid w:val="2B6F3DB4"/>
    <w:rsid w:val="2B752AE5"/>
    <w:rsid w:val="2B7579C5"/>
    <w:rsid w:val="2BB04900"/>
    <w:rsid w:val="2C1B2490"/>
    <w:rsid w:val="2C3A3275"/>
    <w:rsid w:val="2C495744"/>
    <w:rsid w:val="2CEE6B8D"/>
    <w:rsid w:val="2CF93A32"/>
    <w:rsid w:val="2D233DAE"/>
    <w:rsid w:val="2D8E403A"/>
    <w:rsid w:val="2DF9626C"/>
    <w:rsid w:val="2E145F76"/>
    <w:rsid w:val="2EA86D09"/>
    <w:rsid w:val="2ECE747D"/>
    <w:rsid w:val="2F32226B"/>
    <w:rsid w:val="2F376D10"/>
    <w:rsid w:val="2FA231C5"/>
    <w:rsid w:val="306B321F"/>
    <w:rsid w:val="308B65F2"/>
    <w:rsid w:val="30A9337F"/>
    <w:rsid w:val="30F5782F"/>
    <w:rsid w:val="3117229F"/>
    <w:rsid w:val="31395268"/>
    <w:rsid w:val="31584950"/>
    <w:rsid w:val="316D08AD"/>
    <w:rsid w:val="31960AEF"/>
    <w:rsid w:val="31A50177"/>
    <w:rsid w:val="31DD775A"/>
    <w:rsid w:val="31ED10C9"/>
    <w:rsid w:val="320F0A18"/>
    <w:rsid w:val="32351CB2"/>
    <w:rsid w:val="324554E5"/>
    <w:rsid w:val="325D2B5A"/>
    <w:rsid w:val="327661FC"/>
    <w:rsid w:val="32B33B5A"/>
    <w:rsid w:val="32EE27B2"/>
    <w:rsid w:val="330230FE"/>
    <w:rsid w:val="33372789"/>
    <w:rsid w:val="333876C2"/>
    <w:rsid w:val="33484A1E"/>
    <w:rsid w:val="335F47E9"/>
    <w:rsid w:val="33FB17D8"/>
    <w:rsid w:val="346E4104"/>
    <w:rsid w:val="3476470C"/>
    <w:rsid w:val="34D83C16"/>
    <w:rsid w:val="34F42A3D"/>
    <w:rsid w:val="3509315E"/>
    <w:rsid w:val="351A4CC6"/>
    <w:rsid w:val="355F30F6"/>
    <w:rsid w:val="36D10A47"/>
    <w:rsid w:val="36D32B42"/>
    <w:rsid w:val="37705F34"/>
    <w:rsid w:val="377700B0"/>
    <w:rsid w:val="37857872"/>
    <w:rsid w:val="37AF7036"/>
    <w:rsid w:val="380927B5"/>
    <w:rsid w:val="381F0B0E"/>
    <w:rsid w:val="382139EC"/>
    <w:rsid w:val="3876150B"/>
    <w:rsid w:val="38EF03A6"/>
    <w:rsid w:val="38F0125F"/>
    <w:rsid w:val="3900577A"/>
    <w:rsid w:val="392739EA"/>
    <w:rsid w:val="392D38AD"/>
    <w:rsid w:val="3946679B"/>
    <w:rsid w:val="394D1646"/>
    <w:rsid w:val="394D64E6"/>
    <w:rsid w:val="399A43EA"/>
    <w:rsid w:val="39BA7AB8"/>
    <w:rsid w:val="3A0F1960"/>
    <w:rsid w:val="3A166029"/>
    <w:rsid w:val="3A6B6F88"/>
    <w:rsid w:val="3AC125B3"/>
    <w:rsid w:val="3AF216E5"/>
    <w:rsid w:val="3B0B15C3"/>
    <w:rsid w:val="3B164016"/>
    <w:rsid w:val="3B30671A"/>
    <w:rsid w:val="3B5662AC"/>
    <w:rsid w:val="3B981241"/>
    <w:rsid w:val="3BBB2E68"/>
    <w:rsid w:val="3C801B22"/>
    <w:rsid w:val="3CC5729E"/>
    <w:rsid w:val="3CCE203C"/>
    <w:rsid w:val="3D087EC6"/>
    <w:rsid w:val="3D0C1655"/>
    <w:rsid w:val="3D4E48C8"/>
    <w:rsid w:val="3D50421B"/>
    <w:rsid w:val="3D77737D"/>
    <w:rsid w:val="3DC04E13"/>
    <w:rsid w:val="3DD244E7"/>
    <w:rsid w:val="3E132617"/>
    <w:rsid w:val="3E1747FA"/>
    <w:rsid w:val="3E5B41D6"/>
    <w:rsid w:val="3E5E5EDD"/>
    <w:rsid w:val="3E964B98"/>
    <w:rsid w:val="3ECE16FA"/>
    <w:rsid w:val="3F3542FD"/>
    <w:rsid w:val="3F4118C8"/>
    <w:rsid w:val="3F5C676A"/>
    <w:rsid w:val="3FBE1A7F"/>
    <w:rsid w:val="3FF55768"/>
    <w:rsid w:val="40093B4F"/>
    <w:rsid w:val="40462AC9"/>
    <w:rsid w:val="40566CBF"/>
    <w:rsid w:val="40776BAF"/>
    <w:rsid w:val="407921CE"/>
    <w:rsid w:val="40C04FE0"/>
    <w:rsid w:val="41AA7137"/>
    <w:rsid w:val="41EC58FB"/>
    <w:rsid w:val="41F931F1"/>
    <w:rsid w:val="42306D34"/>
    <w:rsid w:val="4231216C"/>
    <w:rsid w:val="4231331F"/>
    <w:rsid w:val="42381A71"/>
    <w:rsid w:val="426B0C9E"/>
    <w:rsid w:val="42841694"/>
    <w:rsid w:val="429266C7"/>
    <w:rsid w:val="42AF1322"/>
    <w:rsid w:val="42B30ACF"/>
    <w:rsid w:val="42E73C10"/>
    <w:rsid w:val="43364422"/>
    <w:rsid w:val="43BC4F26"/>
    <w:rsid w:val="43EE582E"/>
    <w:rsid w:val="43FB3DA4"/>
    <w:rsid w:val="44127AEC"/>
    <w:rsid w:val="441C4006"/>
    <w:rsid w:val="449E489D"/>
    <w:rsid w:val="44A81808"/>
    <w:rsid w:val="44B24294"/>
    <w:rsid w:val="44CF520F"/>
    <w:rsid w:val="44D50483"/>
    <w:rsid w:val="451019FB"/>
    <w:rsid w:val="451A3EF4"/>
    <w:rsid w:val="45361837"/>
    <w:rsid w:val="4543370D"/>
    <w:rsid w:val="455B13AC"/>
    <w:rsid w:val="45654C9F"/>
    <w:rsid w:val="45CF3CD0"/>
    <w:rsid w:val="460567D8"/>
    <w:rsid w:val="4626023B"/>
    <w:rsid w:val="462F25DF"/>
    <w:rsid w:val="46620161"/>
    <w:rsid w:val="46C17C69"/>
    <w:rsid w:val="46E63986"/>
    <w:rsid w:val="46FC7DAE"/>
    <w:rsid w:val="47971B97"/>
    <w:rsid w:val="479F63EE"/>
    <w:rsid w:val="47C304FD"/>
    <w:rsid w:val="47C357A6"/>
    <w:rsid w:val="47D77F02"/>
    <w:rsid w:val="4815186D"/>
    <w:rsid w:val="485A4BA7"/>
    <w:rsid w:val="487C3875"/>
    <w:rsid w:val="48977283"/>
    <w:rsid w:val="48FA3778"/>
    <w:rsid w:val="49656FDE"/>
    <w:rsid w:val="4975258C"/>
    <w:rsid w:val="49896512"/>
    <w:rsid w:val="4996414B"/>
    <w:rsid w:val="49987D21"/>
    <w:rsid w:val="49BA3D71"/>
    <w:rsid w:val="4A5C70F1"/>
    <w:rsid w:val="4AAD275D"/>
    <w:rsid w:val="4AB61A05"/>
    <w:rsid w:val="4AF26B9D"/>
    <w:rsid w:val="4B48494A"/>
    <w:rsid w:val="4B7E5274"/>
    <w:rsid w:val="4BA147A0"/>
    <w:rsid w:val="4BB65435"/>
    <w:rsid w:val="4BCE1489"/>
    <w:rsid w:val="4BEA1EE4"/>
    <w:rsid w:val="4C293566"/>
    <w:rsid w:val="4C4E4313"/>
    <w:rsid w:val="4C553BEB"/>
    <w:rsid w:val="4C651C77"/>
    <w:rsid w:val="4C723787"/>
    <w:rsid w:val="4C783FE1"/>
    <w:rsid w:val="4CF05EAC"/>
    <w:rsid w:val="4D102CB4"/>
    <w:rsid w:val="4D9E609E"/>
    <w:rsid w:val="4DAB4D8C"/>
    <w:rsid w:val="4E0243C8"/>
    <w:rsid w:val="4E345636"/>
    <w:rsid w:val="4E6139A5"/>
    <w:rsid w:val="4E652C5C"/>
    <w:rsid w:val="4E9105E7"/>
    <w:rsid w:val="4EB053BD"/>
    <w:rsid w:val="4EE443B3"/>
    <w:rsid w:val="4FBC6FAF"/>
    <w:rsid w:val="4FDC68F3"/>
    <w:rsid w:val="4FFF46BE"/>
    <w:rsid w:val="50005DA1"/>
    <w:rsid w:val="5041435B"/>
    <w:rsid w:val="50564CCA"/>
    <w:rsid w:val="505A1CB0"/>
    <w:rsid w:val="5090049B"/>
    <w:rsid w:val="509778C7"/>
    <w:rsid w:val="51773E2A"/>
    <w:rsid w:val="51806151"/>
    <w:rsid w:val="51A40397"/>
    <w:rsid w:val="51C53170"/>
    <w:rsid w:val="52012FAC"/>
    <w:rsid w:val="5280421D"/>
    <w:rsid w:val="52BF27F0"/>
    <w:rsid w:val="530F6914"/>
    <w:rsid w:val="535E62F0"/>
    <w:rsid w:val="5361709F"/>
    <w:rsid w:val="53705401"/>
    <w:rsid w:val="53752E8D"/>
    <w:rsid w:val="53832E83"/>
    <w:rsid w:val="53A24A91"/>
    <w:rsid w:val="53D005D1"/>
    <w:rsid w:val="540D782C"/>
    <w:rsid w:val="542F1421"/>
    <w:rsid w:val="543973F0"/>
    <w:rsid w:val="544B51D2"/>
    <w:rsid w:val="54662BE5"/>
    <w:rsid w:val="546C32BA"/>
    <w:rsid w:val="547733F4"/>
    <w:rsid w:val="54B156BA"/>
    <w:rsid w:val="54F516DC"/>
    <w:rsid w:val="5553143F"/>
    <w:rsid w:val="55B42DC5"/>
    <w:rsid w:val="55C82763"/>
    <w:rsid w:val="561E43E8"/>
    <w:rsid w:val="56243301"/>
    <w:rsid w:val="56565F98"/>
    <w:rsid w:val="567B20DA"/>
    <w:rsid w:val="56943FE8"/>
    <w:rsid w:val="56DA5A5F"/>
    <w:rsid w:val="56F625DF"/>
    <w:rsid w:val="577E3F1D"/>
    <w:rsid w:val="57B1137F"/>
    <w:rsid w:val="586B2608"/>
    <w:rsid w:val="5879595C"/>
    <w:rsid w:val="588331BE"/>
    <w:rsid w:val="592D7AE2"/>
    <w:rsid w:val="593554F0"/>
    <w:rsid w:val="59F14505"/>
    <w:rsid w:val="59F967B7"/>
    <w:rsid w:val="5A194DBF"/>
    <w:rsid w:val="5A3078C5"/>
    <w:rsid w:val="5ADF3A74"/>
    <w:rsid w:val="5AE53367"/>
    <w:rsid w:val="5AEE564F"/>
    <w:rsid w:val="5B0B0083"/>
    <w:rsid w:val="5B3565C2"/>
    <w:rsid w:val="5BC3228B"/>
    <w:rsid w:val="5BC73508"/>
    <w:rsid w:val="5BFC28DA"/>
    <w:rsid w:val="5C3B1FEA"/>
    <w:rsid w:val="5C6A01BF"/>
    <w:rsid w:val="5CE80244"/>
    <w:rsid w:val="5CEB6783"/>
    <w:rsid w:val="5D041ECD"/>
    <w:rsid w:val="5D5E1AC8"/>
    <w:rsid w:val="5E051414"/>
    <w:rsid w:val="5E206741"/>
    <w:rsid w:val="5E2D4C21"/>
    <w:rsid w:val="5E820037"/>
    <w:rsid w:val="5EE41E2E"/>
    <w:rsid w:val="5F0F00DA"/>
    <w:rsid w:val="5F1F38CF"/>
    <w:rsid w:val="5F3C6FC1"/>
    <w:rsid w:val="5FA5608D"/>
    <w:rsid w:val="60017F85"/>
    <w:rsid w:val="60032276"/>
    <w:rsid w:val="6045086B"/>
    <w:rsid w:val="60745B63"/>
    <w:rsid w:val="60AC01F6"/>
    <w:rsid w:val="60B3228B"/>
    <w:rsid w:val="60C45913"/>
    <w:rsid w:val="60F64A32"/>
    <w:rsid w:val="61051332"/>
    <w:rsid w:val="62812953"/>
    <w:rsid w:val="62B7743E"/>
    <w:rsid w:val="62B8352F"/>
    <w:rsid w:val="62EF63FA"/>
    <w:rsid w:val="63061571"/>
    <w:rsid w:val="632B39DC"/>
    <w:rsid w:val="63B70585"/>
    <w:rsid w:val="64116858"/>
    <w:rsid w:val="64550D9E"/>
    <w:rsid w:val="648D5222"/>
    <w:rsid w:val="64B2258D"/>
    <w:rsid w:val="64C30596"/>
    <w:rsid w:val="64E30C9E"/>
    <w:rsid w:val="64E86D2F"/>
    <w:rsid w:val="657C25FC"/>
    <w:rsid w:val="65997784"/>
    <w:rsid w:val="65A976E6"/>
    <w:rsid w:val="65C64C37"/>
    <w:rsid w:val="65D01190"/>
    <w:rsid w:val="65EB74A3"/>
    <w:rsid w:val="66197BB5"/>
    <w:rsid w:val="66AB371C"/>
    <w:rsid w:val="66AE1192"/>
    <w:rsid w:val="66CA69C3"/>
    <w:rsid w:val="670A1C6F"/>
    <w:rsid w:val="6794708A"/>
    <w:rsid w:val="67CE0CE2"/>
    <w:rsid w:val="67DA4215"/>
    <w:rsid w:val="67E42DFA"/>
    <w:rsid w:val="681D58BA"/>
    <w:rsid w:val="683C7D70"/>
    <w:rsid w:val="68EB3ADC"/>
    <w:rsid w:val="69240005"/>
    <w:rsid w:val="69462386"/>
    <w:rsid w:val="69C96ADD"/>
    <w:rsid w:val="69DC5A3B"/>
    <w:rsid w:val="69E50464"/>
    <w:rsid w:val="6A2F06BE"/>
    <w:rsid w:val="6A7016FE"/>
    <w:rsid w:val="6AFC6812"/>
    <w:rsid w:val="6B5E2EC6"/>
    <w:rsid w:val="6C42065A"/>
    <w:rsid w:val="6C6F44FD"/>
    <w:rsid w:val="6C9E7796"/>
    <w:rsid w:val="6CB759F8"/>
    <w:rsid w:val="6CD4731D"/>
    <w:rsid w:val="6D01440C"/>
    <w:rsid w:val="6D0E374B"/>
    <w:rsid w:val="6D121910"/>
    <w:rsid w:val="6D3205F0"/>
    <w:rsid w:val="6D4C048E"/>
    <w:rsid w:val="6D684903"/>
    <w:rsid w:val="6D862B60"/>
    <w:rsid w:val="6DB702B4"/>
    <w:rsid w:val="6E4462CC"/>
    <w:rsid w:val="6E504618"/>
    <w:rsid w:val="6EB20078"/>
    <w:rsid w:val="6F1028C5"/>
    <w:rsid w:val="6F3608C4"/>
    <w:rsid w:val="6F5579D7"/>
    <w:rsid w:val="6F801AF8"/>
    <w:rsid w:val="6F8D5AAE"/>
    <w:rsid w:val="6FD52979"/>
    <w:rsid w:val="6FFF59CB"/>
    <w:rsid w:val="700D564E"/>
    <w:rsid w:val="70160759"/>
    <w:rsid w:val="70200B37"/>
    <w:rsid w:val="7037013D"/>
    <w:rsid w:val="704E4A67"/>
    <w:rsid w:val="70995673"/>
    <w:rsid w:val="70AA0AC2"/>
    <w:rsid w:val="70AA24EA"/>
    <w:rsid w:val="70B97CE8"/>
    <w:rsid w:val="70D46C56"/>
    <w:rsid w:val="70EA7511"/>
    <w:rsid w:val="71143E21"/>
    <w:rsid w:val="71616F10"/>
    <w:rsid w:val="719955E9"/>
    <w:rsid w:val="71C93578"/>
    <w:rsid w:val="71DA7124"/>
    <w:rsid w:val="72847DC4"/>
    <w:rsid w:val="72867A39"/>
    <w:rsid w:val="72D71CC1"/>
    <w:rsid w:val="72EE3608"/>
    <w:rsid w:val="72F37E30"/>
    <w:rsid w:val="731D1452"/>
    <w:rsid w:val="7327462F"/>
    <w:rsid w:val="732F59FD"/>
    <w:rsid w:val="734B5574"/>
    <w:rsid w:val="7355417D"/>
    <w:rsid w:val="736C3FBB"/>
    <w:rsid w:val="73A85DC8"/>
    <w:rsid w:val="73C54686"/>
    <w:rsid w:val="73D14742"/>
    <w:rsid w:val="73E217DB"/>
    <w:rsid w:val="73F96C70"/>
    <w:rsid w:val="740F6E24"/>
    <w:rsid w:val="74285611"/>
    <w:rsid w:val="7430057A"/>
    <w:rsid w:val="74573DE9"/>
    <w:rsid w:val="74626087"/>
    <w:rsid w:val="749D37F7"/>
    <w:rsid w:val="74BC6C8B"/>
    <w:rsid w:val="74C1676E"/>
    <w:rsid w:val="74D53B99"/>
    <w:rsid w:val="754C1AAF"/>
    <w:rsid w:val="762B3711"/>
    <w:rsid w:val="76696B17"/>
    <w:rsid w:val="76696D01"/>
    <w:rsid w:val="76844850"/>
    <w:rsid w:val="76991F3B"/>
    <w:rsid w:val="76B94BAA"/>
    <w:rsid w:val="76BD4E1F"/>
    <w:rsid w:val="76D8737F"/>
    <w:rsid w:val="76E279D7"/>
    <w:rsid w:val="7718204C"/>
    <w:rsid w:val="772E0626"/>
    <w:rsid w:val="7752184A"/>
    <w:rsid w:val="7754709D"/>
    <w:rsid w:val="776E285A"/>
    <w:rsid w:val="77B02D8D"/>
    <w:rsid w:val="77B23404"/>
    <w:rsid w:val="77C0093D"/>
    <w:rsid w:val="77C90B9C"/>
    <w:rsid w:val="77EF22D8"/>
    <w:rsid w:val="780F30C4"/>
    <w:rsid w:val="78204380"/>
    <w:rsid w:val="78384CBC"/>
    <w:rsid w:val="784258BF"/>
    <w:rsid w:val="79322207"/>
    <w:rsid w:val="793758F2"/>
    <w:rsid w:val="79BD108A"/>
    <w:rsid w:val="79C0590F"/>
    <w:rsid w:val="7A080BBF"/>
    <w:rsid w:val="7A4F2396"/>
    <w:rsid w:val="7A787ECB"/>
    <w:rsid w:val="7A875FC6"/>
    <w:rsid w:val="7A8B51CB"/>
    <w:rsid w:val="7A984514"/>
    <w:rsid w:val="7AB507FA"/>
    <w:rsid w:val="7AC634CB"/>
    <w:rsid w:val="7ACB482C"/>
    <w:rsid w:val="7AF137EF"/>
    <w:rsid w:val="7B2531D6"/>
    <w:rsid w:val="7B5B11D8"/>
    <w:rsid w:val="7C2A4FF2"/>
    <w:rsid w:val="7C41564D"/>
    <w:rsid w:val="7C560C4A"/>
    <w:rsid w:val="7C8E16C9"/>
    <w:rsid w:val="7CA10AF6"/>
    <w:rsid w:val="7CB561C0"/>
    <w:rsid w:val="7CCC277F"/>
    <w:rsid w:val="7CE3033A"/>
    <w:rsid w:val="7D0A2590"/>
    <w:rsid w:val="7D550752"/>
    <w:rsid w:val="7D6A7A29"/>
    <w:rsid w:val="7DA0035E"/>
    <w:rsid w:val="7DC16877"/>
    <w:rsid w:val="7DCC5A45"/>
    <w:rsid w:val="7E221397"/>
    <w:rsid w:val="7E630B4F"/>
    <w:rsid w:val="7E7F1DC3"/>
    <w:rsid w:val="7E7F4EA4"/>
    <w:rsid w:val="7E8B6D0C"/>
    <w:rsid w:val="7F285EA4"/>
    <w:rsid w:val="7F78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nhideWhenUsed="0" w:uiPriority="0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name="header"/>
    <w:lsdException w:uiPriority="99" w:name="footer"/>
    <w:lsdException w:uiPriority="99" w:name="index heading"/>
    <w:lsdException w:qFormat="1" w:uiPriority="35" w:semiHidden="0" w:name="caption"/>
    <w:lsdException w:qFormat="1" w:uiPriority="99" w:semiHidden="0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Theme="minorHAnsi" w:cstheme="minorBidi"/>
      <w:sz w:val="20"/>
      <w:szCs w:val="22"/>
      <w:lang w:val="en-US" w:eastAsia="en-US" w:bidi="ar-SA"/>
    </w:rPr>
  </w:style>
  <w:style w:type="paragraph" w:styleId="2">
    <w:name w:val="heading 1"/>
    <w:basedOn w:val="1"/>
    <w:next w:val="1"/>
    <w:link w:val="25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3">
    <w:name w:val="heading 2"/>
    <w:basedOn w:val="2"/>
    <w:next w:val="1"/>
    <w:link w:val="24"/>
    <w:qFormat/>
    <w:uiPriority w:val="0"/>
    <w:pPr>
      <w:spacing w:before="180" w:after="180" w:line="240" w:lineRule="auto"/>
      <w:outlineLvl w:val="1"/>
    </w:pPr>
    <w:rPr>
      <w:rFonts w:ascii="Arial" w:hAnsi="Arial" w:eastAsia="Times New Roman" w:cs="Times New Roman"/>
      <w:color w:val="auto"/>
      <w:szCs w:val="20"/>
      <w:lang w:val="en-GB"/>
    </w:rPr>
  </w:style>
  <w:style w:type="paragraph" w:styleId="4">
    <w:name w:val="heading 3"/>
    <w:basedOn w:val="3"/>
    <w:next w:val="1"/>
    <w:semiHidden/>
    <w:unhideWhenUsed/>
    <w:qFormat/>
    <w:uiPriority w:val="9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paragraph" w:styleId="5">
    <w:name w:val="heading 4"/>
    <w:basedOn w:val="4"/>
    <w:next w:val="1"/>
    <w:link w:val="43"/>
    <w:semiHidden/>
    <w:unhideWhenUsed/>
    <w:qFormat/>
    <w:uiPriority w:val="9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2F5597" w:themeColor="accent1" w:themeShade="BF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caption"/>
    <w:basedOn w:val="1"/>
    <w:next w:val="1"/>
    <w:link w:val="38"/>
    <w:unhideWhenUsed/>
    <w:qFormat/>
    <w:uiPriority w:val="35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8">
    <w:name w:val="annotation text"/>
    <w:basedOn w:val="1"/>
    <w:link w:val="58"/>
    <w:semiHidden/>
    <w:unhideWhenUsed/>
    <w:qFormat/>
    <w:uiPriority w:val="99"/>
    <w:pPr>
      <w:spacing w:line="240" w:lineRule="auto"/>
    </w:pPr>
    <w:rPr>
      <w:szCs w:val="20"/>
    </w:rPr>
  </w:style>
  <w:style w:type="paragraph" w:styleId="9">
    <w:name w:val="Body Text"/>
    <w:basedOn w:val="1"/>
    <w:link w:val="46"/>
    <w:semiHidden/>
    <w:unhideWhenUsed/>
    <w:qFormat/>
    <w:uiPriority w:val="0"/>
    <w:pPr>
      <w:spacing w:after="120" w:line="256" w:lineRule="auto"/>
      <w:jc w:val="both"/>
    </w:pPr>
    <w:rPr>
      <w:rFonts w:ascii="Arial" w:hAnsi="Arial"/>
      <w:sz w:val="22"/>
      <w:lang w:val="da-DK" w:eastAsia="zh-CN"/>
    </w:rPr>
  </w:style>
  <w:style w:type="paragraph" w:styleId="10">
    <w:name w:val="List 2"/>
    <w:basedOn w:val="11"/>
    <w:semiHidden/>
    <w:unhideWhenUsed/>
    <w:qFormat/>
    <w:uiPriority w:val="99"/>
    <w:pPr>
      <w:ind w:left="566" w:hanging="283"/>
      <w:contextualSpacing/>
    </w:pPr>
  </w:style>
  <w:style w:type="paragraph" w:styleId="11">
    <w:name w:val="List"/>
    <w:basedOn w:val="1"/>
    <w:qFormat/>
    <w:uiPriority w:val="0"/>
    <w:pPr>
      <w:ind w:left="568" w:hanging="284"/>
    </w:pPr>
  </w:style>
  <w:style w:type="paragraph" w:styleId="12">
    <w:name w:val="Balloon Text"/>
    <w:basedOn w:val="1"/>
    <w:link w:val="55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13">
    <w:name w:val="header"/>
    <w:basedOn w:val="1"/>
    <w:link w:val="53"/>
    <w:semiHidden/>
    <w:unhideWhenUsed/>
    <w:qFormat/>
    <w:uiPriority w:val="0"/>
    <w:pPr>
      <w:widowControl w:val="0"/>
      <w:spacing w:after="0" w:line="240" w:lineRule="auto"/>
    </w:pPr>
    <w:rPr>
      <w:rFonts w:ascii="Tms Rmn" w:hAnsi="Tms Rmn" w:eastAsiaTheme="minorHAnsi" w:cstheme="minorBidi"/>
      <w:b/>
      <w:sz w:val="18"/>
      <w:szCs w:val="22"/>
      <w:lang w:val="en-US" w:eastAsia="en-US" w:bidi="ar-SA"/>
    </w:rPr>
  </w:style>
  <w:style w:type="paragraph" w:styleId="14">
    <w:name w:val="toc 1"/>
    <w:basedOn w:val="1"/>
    <w:next w:val="1"/>
    <w:unhideWhenUsed/>
    <w:qFormat/>
    <w:uiPriority w:val="39"/>
    <w:pPr>
      <w:spacing w:after="100"/>
    </w:pPr>
  </w:style>
  <w:style w:type="paragraph" w:styleId="15">
    <w:name w:val="table of figures"/>
    <w:basedOn w:val="1"/>
    <w:next w:val="1"/>
    <w:unhideWhenUsed/>
    <w:qFormat/>
    <w:uiPriority w:val="99"/>
    <w:pPr>
      <w:spacing w:after="0"/>
    </w:pPr>
  </w:style>
  <w:style w:type="paragraph" w:styleId="16">
    <w:name w:val="toc 2"/>
    <w:basedOn w:val="1"/>
    <w:next w:val="1"/>
    <w:unhideWhenUsed/>
    <w:qFormat/>
    <w:uiPriority w:val="39"/>
    <w:pPr>
      <w:spacing w:after="100"/>
      <w:ind w:left="200"/>
    </w:pPr>
  </w:style>
  <w:style w:type="paragraph" w:styleId="17">
    <w:name w:val="annotation subject"/>
    <w:basedOn w:val="8"/>
    <w:next w:val="8"/>
    <w:link w:val="59"/>
    <w:semiHidden/>
    <w:unhideWhenUsed/>
    <w:qFormat/>
    <w:uiPriority w:val="99"/>
    <w:rPr>
      <w:b/>
      <w:bCs/>
    </w:rPr>
  </w:style>
  <w:style w:type="table" w:styleId="19">
    <w:name w:val="Table Grid"/>
    <w:basedOn w:val="18"/>
    <w:qFormat/>
    <w:uiPriority w:val="39"/>
    <w:pPr>
      <w:spacing w:after="0" w:line="240" w:lineRule="auto"/>
    </w:pPr>
    <w:rPr>
      <w:rFonts w:ascii="Arial" w:hAnsi="Arial"/>
      <w:sz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FollowedHyperlink"/>
    <w:basedOn w:val="20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22">
    <w:name w:val="Hyperlink"/>
    <w:basedOn w:val="20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3">
    <w:name w:val="annotation reference"/>
    <w:basedOn w:val="20"/>
    <w:semiHidden/>
    <w:unhideWhenUsed/>
    <w:qFormat/>
    <w:uiPriority w:val="99"/>
    <w:rPr>
      <w:sz w:val="16"/>
      <w:szCs w:val="16"/>
    </w:rPr>
  </w:style>
  <w:style w:type="character" w:customStyle="1" w:styleId="24">
    <w:name w:val="Heading 2 Char"/>
    <w:basedOn w:val="20"/>
    <w:link w:val="3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character" w:customStyle="1" w:styleId="25">
    <w:name w:val="Heading 1 Char"/>
    <w:basedOn w:val="20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26">
    <w:name w:val="List Paragraph"/>
    <w:basedOn w:val="1"/>
    <w:link w:val="33"/>
    <w:qFormat/>
    <w:uiPriority w:val="34"/>
    <w:pPr>
      <w:ind w:left="720"/>
      <w:contextualSpacing/>
    </w:pPr>
  </w:style>
  <w:style w:type="paragraph" w:customStyle="1" w:styleId="27">
    <w:name w:val="RAN4 H2"/>
    <w:basedOn w:val="3"/>
    <w:next w:val="1"/>
    <w:link w:val="29"/>
    <w:qFormat/>
    <w:uiPriority w:val="0"/>
    <w:rPr>
      <w:lang w:val="en-US"/>
    </w:rPr>
  </w:style>
  <w:style w:type="paragraph" w:customStyle="1" w:styleId="28">
    <w:name w:val="RAN4 H1"/>
    <w:basedOn w:val="1"/>
    <w:link w:val="3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hAnsi="Arial" w:eastAsia="宋体" w:cs="Times New Roman"/>
      <w:sz w:val="36"/>
      <w:szCs w:val="20"/>
      <w:lang w:val="en-GB"/>
    </w:rPr>
  </w:style>
  <w:style w:type="character" w:customStyle="1" w:styleId="29">
    <w:name w:val="RAN4 H2 Char"/>
    <w:basedOn w:val="24"/>
    <w:link w:val="27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paragraph" w:customStyle="1" w:styleId="30">
    <w:name w:val="RAN4 Observation"/>
    <w:basedOn w:val="26"/>
    <w:next w:val="1"/>
    <w:link w:val="34"/>
    <w:qFormat/>
    <w:uiPriority w:val="0"/>
    <w:pPr>
      <w:numPr>
        <w:ilvl w:val="0"/>
        <w:numId w:val="1"/>
      </w:numPr>
    </w:pPr>
    <w:rPr>
      <w:rFonts w:eastAsia="Calibri" w:cs="Times New Roman"/>
      <w:szCs w:val="20"/>
      <w:lang w:val="en-GB"/>
    </w:rPr>
  </w:style>
  <w:style w:type="character" w:customStyle="1" w:styleId="31">
    <w:name w:val="RAN4 H1 Char"/>
    <w:basedOn w:val="20"/>
    <w:link w:val="28"/>
    <w:qFormat/>
    <w:uiPriority w:val="0"/>
    <w:rPr>
      <w:rFonts w:ascii="Arial" w:hAnsi="Arial" w:eastAsia="宋体" w:cs="Times New Roman"/>
      <w:sz w:val="36"/>
      <w:szCs w:val="20"/>
      <w:lang w:val="en-GB"/>
    </w:rPr>
  </w:style>
  <w:style w:type="paragraph" w:customStyle="1" w:styleId="32">
    <w:name w:val="RAN4 Proposal"/>
    <w:basedOn w:val="26"/>
    <w:next w:val="1"/>
    <w:link w:val="35"/>
    <w:qFormat/>
    <w:uiPriority w:val="0"/>
    <w:pPr>
      <w:numPr>
        <w:ilvl w:val="0"/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33">
    <w:name w:val="List Paragraph Char"/>
    <w:basedOn w:val="20"/>
    <w:link w:val="26"/>
    <w:qFormat/>
    <w:uiPriority w:val="34"/>
  </w:style>
  <w:style w:type="character" w:customStyle="1" w:styleId="34">
    <w:name w:val="RAN4 Observation Char"/>
    <w:basedOn w:val="33"/>
    <w:link w:val="30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35">
    <w:name w:val="RAN4 Proposal Char"/>
    <w:basedOn w:val="33"/>
    <w:link w:val="32"/>
    <w:qFormat/>
    <w:uiPriority w:val="0"/>
    <w:rPr>
      <w:rFonts w:ascii="Times New Roman" w:hAnsi="Times New Roman" w:eastAsia="Calibri" w:cs="Times New Roman"/>
      <w:b/>
      <w:sz w:val="20"/>
      <w:szCs w:val="20"/>
      <w:lang w:val="en-GB"/>
    </w:rPr>
  </w:style>
  <w:style w:type="paragraph" w:customStyle="1" w:styleId="36">
    <w:name w:val="RAN4 proposal"/>
    <w:basedOn w:val="7"/>
    <w:next w:val="1"/>
    <w:link w:val="39"/>
    <w:qFormat/>
    <w:uiPriority w:val="0"/>
    <w:pPr>
      <w:numPr>
        <w:ilvl w:val="0"/>
        <w:numId w:val="3"/>
      </w:numPr>
      <w:ind w:left="0" w:firstLine="0"/>
      <w:jc w:val="left"/>
    </w:pPr>
    <w:rPr>
      <w:rFonts w:ascii="Times New Roman" w:hAnsi="Times New Roman"/>
      <w:b/>
      <w:i w:val="0"/>
      <w:sz w:val="22"/>
    </w:rPr>
  </w:style>
  <w:style w:type="paragraph" w:customStyle="1" w:styleId="37">
    <w:name w:val="TOC Heading"/>
    <w:basedOn w:val="2"/>
    <w:next w:val="1"/>
    <w:unhideWhenUsed/>
    <w:qFormat/>
    <w:uiPriority w:val="39"/>
    <w:pPr>
      <w:outlineLvl w:val="9"/>
    </w:pPr>
  </w:style>
  <w:style w:type="character" w:customStyle="1" w:styleId="38">
    <w:name w:val="Caption Char"/>
    <w:basedOn w:val="20"/>
    <w:link w:val="7"/>
    <w:qFormat/>
    <w:uiPriority w:val="35"/>
    <w:rPr>
      <w:rFonts w:ascii="Arial" w:hAnsi="Arial"/>
      <w:i/>
      <w:iCs/>
      <w:sz w:val="18"/>
      <w:szCs w:val="18"/>
    </w:rPr>
  </w:style>
  <w:style w:type="character" w:customStyle="1" w:styleId="39">
    <w:name w:val="RAN4 proposal Char"/>
    <w:basedOn w:val="38"/>
    <w:link w:val="36"/>
    <w:qFormat/>
    <w:uiPriority w:val="0"/>
    <w:rPr>
      <w:rFonts w:ascii="Times New Roman" w:hAnsi="Times New Roman"/>
      <w:b/>
      <w:i w:val="0"/>
      <w:sz w:val="18"/>
      <w:szCs w:val="18"/>
    </w:rPr>
  </w:style>
  <w:style w:type="paragraph" w:customStyle="1" w:styleId="40">
    <w:name w:val="RAN4 observation"/>
    <w:basedOn w:val="30"/>
    <w:next w:val="1"/>
    <w:link w:val="41"/>
    <w:qFormat/>
    <w:uiPriority w:val="0"/>
    <w:pPr>
      <w:ind w:left="0" w:firstLine="0"/>
    </w:pPr>
    <w:rPr>
      <w:sz w:val="22"/>
    </w:rPr>
  </w:style>
  <w:style w:type="character" w:customStyle="1" w:styleId="41">
    <w:name w:val="RAN4 observation Char"/>
    <w:basedOn w:val="34"/>
    <w:link w:val="40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42">
    <w:name w:val="Unresolved Mention"/>
    <w:basedOn w:val="20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43">
    <w:name w:val="Heading 4 Char"/>
    <w:basedOn w:val="20"/>
    <w:link w:val="5"/>
    <w:semiHidden/>
    <w:qFormat/>
    <w:uiPriority w:val="9"/>
    <w:rPr>
      <w:rFonts w:asciiTheme="majorHAnsi" w:hAnsiTheme="majorHAnsi" w:eastAsiaTheme="majorEastAsia" w:cstheme="majorBidi"/>
      <w:i/>
      <w:iCs/>
      <w:color w:val="2F5597" w:themeColor="accent1" w:themeShade="BF"/>
      <w:sz w:val="20"/>
    </w:rPr>
  </w:style>
  <w:style w:type="character" w:customStyle="1" w:styleId="44">
    <w:name w:val="Doc-text2 Char"/>
    <w:link w:val="45"/>
    <w:qFormat/>
    <w:locked/>
    <w:uiPriority w:val="0"/>
    <w:rPr>
      <w:rFonts w:ascii="Arial" w:hAnsi="Arial" w:eastAsia="Times New Roman" w:cs="Arial"/>
      <w:lang w:val="zh-CN" w:eastAsia="zh-CN"/>
    </w:rPr>
  </w:style>
  <w:style w:type="paragraph" w:customStyle="1" w:styleId="45">
    <w:name w:val="Doc-text2"/>
    <w:basedOn w:val="1"/>
    <w:link w:val="44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hAnsi="Arial" w:eastAsia="Times New Roman" w:cs="Arial"/>
      <w:sz w:val="22"/>
      <w:lang w:val="zh-CN" w:eastAsia="zh-CN"/>
    </w:rPr>
  </w:style>
  <w:style w:type="character" w:customStyle="1" w:styleId="46">
    <w:name w:val="Body Text Char"/>
    <w:basedOn w:val="20"/>
    <w:link w:val="9"/>
    <w:semiHidden/>
    <w:qFormat/>
    <w:uiPriority w:val="0"/>
    <w:rPr>
      <w:rFonts w:ascii="Arial" w:hAnsi="Arial"/>
      <w:lang w:val="da-DK" w:eastAsia="zh-CN"/>
    </w:rPr>
  </w:style>
  <w:style w:type="paragraph" w:customStyle="1" w:styleId="47">
    <w:name w:val="Agreement"/>
    <w:basedOn w:val="1"/>
    <w:next w:val="45"/>
    <w:qFormat/>
    <w:uiPriority w:val="0"/>
    <w:pPr>
      <w:numPr>
        <w:ilvl w:val="0"/>
        <w:numId w:val="4"/>
      </w:numPr>
      <w:spacing w:before="6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paragraph" w:customStyle="1" w:styleId="48">
    <w:name w:val="TAL"/>
    <w:basedOn w:val="1"/>
    <w:link w:val="49"/>
    <w:qFormat/>
    <w:uiPriority w:val="0"/>
    <w:pPr>
      <w:keepNext/>
      <w:keepLines/>
      <w:spacing w:after="0" w:line="240" w:lineRule="auto"/>
    </w:pPr>
    <w:rPr>
      <w:rFonts w:ascii="Arial" w:hAnsi="Arial" w:eastAsia="Times New Roman" w:cs="Times New Roman"/>
      <w:sz w:val="18"/>
      <w:szCs w:val="20"/>
      <w:lang w:val="en-GB"/>
    </w:rPr>
  </w:style>
  <w:style w:type="character" w:customStyle="1" w:styleId="49">
    <w:name w:val="TAL Char"/>
    <w:link w:val="48"/>
    <w:qFormat/>
    <w:locked/>
    <w:uiPriority w:val="0"/>
    <w:rPr>
      <w:rFonts w:ascii="Arial" w:hAnsi="Arial" w:eastAsia="Times New Roman" w:cs="Times New Roman"/>
      <w:sz w:val="18"/>
      <w:szCs w:val="20"/>
      <w:lang w:val="en-GB"/>
    </w:rPr>
  </w:style>
  <w:style w:type="paragraph" w:customStyle="1" w:styleId="50">
    <w:name w:val="B2"/>
    <w:basedOn w:val="10"/>
    <w:qFormat/>
    <w:uiPriority w:val="99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MS Mincho" w:cs="Times New Roman"/>
      <w:szCs w:val="20"/>
      <w:lang w:val="en-GB"/>
    </w:rPr>
  </w:style>
  <w:style w:type="paragraph" w:customStyle="1" w:styleId="51">
    <w:name w:val="EmailDiscussion"/>
    <w:basedOn w:val="1"/>
    <w:next w:val="1"/>
    <w:link w:val="52"/>
    <w:qFormat/>
    <w:uiPriority w:val="0"/>
    <w:pPr>
      <w:numPr>
        <w:ilvl w:val="0"/>
        <w:numId w:val="5"/>
      </w:numPr>
      <w:spacing w:before="4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character" w:customStyle="1" w:styleId="52">
    <w:name w:val="EmailDiscussion Char"/>
    <w:link w:val="51"/>
    <w:qFormat/>
    <w:uiPriority w:val="0"/>
    <w:rPr>
      <w:rFonts w:ascii="Arial" w:hAnsi="Arial" w:eastAsia="MS Mincho" w:cs="Times New Roman"/>
      <w:b/>
      <w:sz w:val="20"/>
      <w:szCs w:val="24"/>
      <w:lang w:val="en-GB" w:eastAsia="en-GB"/>
    </w:rPr>
  </w:style>
  <w:style w:type="character" w:customStyle="1" w:styleId="53">
    <w:name w:val="Header Char"/>
    <w:basedOn w:val="20"/>
    <w:link w:val="13"/>
    <w:semiHidden/>
    <w:qFormat/>
    <w:locked/>
    <w:uiPriority w:val="0"/>
    <w:rPr>
      <w:rFonts w:ascii="Tms Rmn" w:hAnsi="Tms Rmn"/>
      <w:b/>
      <w:sz w:val="18"/>
    </w:rPr>
  </w:style>
  <w:style w:type="character" w:customStyle="1" w:styleId="54">
    <w:name w:val="Header Char1"/>
    <w:basedOn w:val="20"/>
    <w:semiHidden/>
    <w:qFormat/>
    <w:uiPriority w:val="99"/>
    <w:rPr>
      <w:rFonts w:ascii="Times New Roman" w:hAnsi="Times New Roman"/>
      <w:sz w:val="20"/>
    </w:rPr>
  </w:style>
  <w:style w:type="character" w:customStyle="1" w:styleId="55">
    <w:name w:val="Balloon Text Char"/>
    <w:basedOn w:val="20"/>
    <w:link w:val="12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56">
    <w:name w:val="CR Cover Page Zchn"/>
    <w:link w:val="57"/>
    <w:qFormat/>
    <w:locked/>
    <w:uiPriority w:val="0"/>
    <w:rPr>
      <w:rFonts w:ascii="Arial" w:hAnsi="Arial" w:cs="Arial"/>
      <w:lang w:val="en-GB"/>
    </w:rPr>
  </w:style>
  <w:style w:type="paragraph" w:customStyle="1" w:styleId="57">
    <w:name w:val="CR Cover Page"/>
    <w:link w:val="56"/>
    <w:qFormat/>
    <w:uiPriority w:val="0"/>
    <w:pPr>
      <w:spacing w:after="120" w:line="240" w:lineRule="auto"/>
    </w:pPr>
    <w:rPr>
      <w:rFonts w:ascii="Arial" w:hAnsi="Arial" w:cs="Arial" w:eastAsiaTheme="minorHAnsi"/>
      <w:sz w:val="22"/>
      <w:szCs w:val="22"/>
      <w:lang w:val="en-GB" w:eastAsia="en-US" w:bidi="ar-SA"/>
    </w:rPr>
  </w:style>
  <w:style w:type="character" w:customStyle="1" w:styleId="58">
    <w:name w:val="Comment Text Char"/>
    <w:basedOn w:val="20"/>
    <w:link w:val="8"/>
    <w:semiHidden/>
    <w:qFormat/>
    <w:uiPriority w:val="99"/>
    <w:rPr>
      <w:rFonts w:ascii="Times New Roman" w:hAnsi="Times New Roman"/>
      <w:sz w:val="20"/>
      <w:szCs w:val="20"/>
    </w:rPr>
  </w:style>
  <w:style w:type="character" w:customStyle="1" w:styleId="59">
    <w:name w:val="Comment Subject Char"/>
    <w:basedOn w:val="58"/>
    <w:link w:val="17"/>
    <w:semiHidden/>
    <w:qFormat/>
    <w:uiPriority w:val="99"/>
    <w:rPr>
      <w:rFonts w:ascii="Times New Roman" w:hAnsi="Times New Roman"/>
      <w:b/>
      <w:bCs/>
      <w:sz w:val="20"/>
      <w:szCs w:val="20"/>
    </w:rPr>
  </w:style>
  <w:style w:type="paragraph" w:customStyle="1" w:styleId="60">
    <w:name w:val="3GPP Normal Text"/>
    <w:basedOn w:val="9"/>
    <w:link w:val="61"/>
    <w:qFormat/>
    <w:uiPriority w:val="0"/>
    <w:pPr>
      <w:spacing w:line="240" w:lineRule="auto"/>
      <w:ind w:hanging="22"/>
    </w:pPr>
    <w:rPr>
      <w:rFonts w:ascii="Times New Roman" w:hAnsi="Times New Roman" w:eastAsia="MS Mincho" w:cs="Arial"/>
      <w:sz w:val="20"/>
      <w:szCs w:val="24"/>
      <w:lang w:val="en-US" w:eastAsia="en-US"/>
    </w:rPr>
  </w:style>
  <w:style w:type="character" w:customStyle="1" w:styleId="61">
    <w:name w:val="3GPP Normal Text Char"/>
    <w:link w:val="60"/>
    <w:qFormat/>
    <w:uiPriority w:val="0"/>
    <w:rPr>
      <w:rFonts w:ascii="Times New Roman" w:hAnsi="Times New Roman" w:eastAsia="MS Mincho" w:cs="Arial"/>
      <w:sz w:val="20"/>
      <w:szCs w:val="24"/>
    </w:rPr>
  </w:style>
  <w:style w:type="paragraph" w:customStyle="1" w:styleId="62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color w:val="000000"/>
      <w:sz w:val="24"/>
      <w:szCs w:val="24"/>
      <w:lang w:val="en-US" w:eastAsia="en-US" w:bidi="ar-SA"/>
    </w:rPr>
  </w:style>
  <w:style w:type="paragraph" w:customStyle="1" w:styleId="6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64">
    <w:name w:val="NO"/>
    <w:basedOn w:val="1"/>
    <w:qFormat/>
    <w:uiPriority w:val="0"/>
    <w:pPr>
      <w:keepLines/>
      <w:ind w:left="1135" w:hanging="851"/>
    </w:pPr>
    <w:rPr>
      <w:lang w:eastAsia="zh-CN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66">
    <w:name w:val="B1"/>
    <w:basedOn w:val="11"/>
    <w:qFormat/>
    <w:uiPriority w:val="0"/>
  </w:style>
  <w:style w:type="paragraph" w:customStyle="1" w:styleId="67">
    <w:name w:val="main text"/>
    <w:basedOn w:val="1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eastAsia="ko-KR"/>
    </w:rPr>
  </w:style>
  <w:style w:type="paragraph" w:customStyle="1" w:styleId="68">
    <w:name w:val="B3"/>
    <w:basedOn w:val="1"/>
    <w:qFormat/>
    <w:uiPriority w:val="0"/>
    <w:pPr>
      <w:ind w:left="1135" w:hanging="284"/>
    </w:pPr>
    <w:rPr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5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7.xml"/><Relationship Id="rId10" Type="http://schemas.openxmlformats.org/officeDocument/2006/relationships/customXml" Target="../customXml/item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3" ma:contentTypeDescription="Create a new document." ma:contentTypeScope="" ma:versionID="21d836e5fdcd90b3f8a28f61878d83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98ead6f5327600ef778d1f131eb816f5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5AIRPNAIUNRU-1328258698-542</_dlc_DocId>
    <_dlc_DocIdUrl xmlns="71c5aaf6-e6ce-465b-b873-5148d2a4c105">
      <Url>https://nokia.sharepoint.com/sites/c5g/5gradio/_layouts/15/DocIdRedir.aspx?ID=5AIRPNAIUNRU-1328258698-542</Url>
      <Description>5AIRPNAIUNRU-1328258698-542</Description>
    </_dlc_DocIdUrl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8DA32A5-C37F-4DB0-94C0-5301A1F35695}">
  <ds:schemaRefs/>
</ds:datastoreItem>
</file>

<file path=customXml/itemProps3.xml><?xml version="1.0" encoding="utf-8"?>
<ds:datastoreItem xmlns:ds="http://schemas.openxmlformats.org/officeDocument/2006/customXml" ds:itemID="{EAA4E9F1-3478-4E48-ACB7-A0EA7CF8F594}">
  <ds:schemaRefs/>
</ds:datastoreItem>
</file>

<file path=customXml/itemProps4.xml><?xml version="1.0" encoding="utf-8"?>
<ds:datastoreItem xmlns:ds="http://schemas.openxmlformats.org/officeDocument/2006/customXml" ds:itemID="{DDD117E1-8C1C-466A-8D7F-EAF64C1488C0}">
  <ds:schemaRefs/>
</ds:datastoreItem>
</file>

<file path=customXml/itemProps5.xml><?xml version="1.0" encoding="utf-8"?>
<ds:datastoreItem xmlns:ds="http://schemas.openxmlformats.org/officeDocument/2006/customXml" ds:itemID="{E8E32C24-5F96-4713-A70F-A7BA20BB6CD6}">
  <ds:schemaRefs/>
</ds:datastoreItem>
</file>

<file path=customXml/itemProps6.xml><?xml version="1.0" encoding="utf-8"?>
<ds:datastoreItem xmlns:ds="http://schemas.openxmlformats.org/officeDocument/2006/customXml" ds:itemID="{E173285D-2887-45E3-A024-3D1E71CC8E74}">
  <ds:schemaRefs/>
</ds:datastoreItem>
</file>

<file path=customXml/itemProps7.xml><?xml version="1.0" encoding="utf-8"?>
<ds:datastoreItem xmlns:ds="http://schemas.openxmlformats.org/officeDocument/2006/customXml" ds:itemID="{9B5B53C8-48A5-44AD-B897-E90CB0B8E3E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1097</Words>
  <Characters>5416</Characters>
  <Lines>44</Lines>
  <Paragraphs>12</Paragraphs>
  <TotalTime>0</TotalTime>
  <ScaleCrop>false</ScaleCrop>
  <LinksUpToDate>false</LinksUpToDate>
  <CharactersWithSpaces>6449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2019-08-16T13:02:00Z</dcterms:created>
  <dc:creator>Nokia</dc:creator>
  <cp:lastModifiedBy>Ricky (ZTE)</cp:lastModifiedBy>
  <cp:lastPrinted>2019-04-29T06:52:00Z</cp:lastPrinted>
  <dcterms:modified xsi:type="dcterms:W3CDTF">2022-01-10T13:19:51Z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1f769e8a-6078-43bc-9241-302cff129fa2</vt:lpwstr>
  </property>
  <property fmtid="{D5CDD505-2E9C-101B-9397-08002B2CF9AE}" pid="4" name="KSOProductBuildVer">
    <vt:lpwstr>2052-11.8.2.9022</vt:lpwstr>
  </property>
</Properties>
</file>